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56F1" w14:textId="77777777" w:rsidR="009751ED" w:rsidRPr="00415A1A" w:rsidRDefault="009751ED" w:rsidP="009751E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11EFC">
        <w:rPr>
          <w:rFonts w:ascii="Arial" w:eastAsia="Times New Roman" w:hAnsi="Arial" w:cs="Arial"/>
          <w:b/>
          <w:sz w:val="20"/>
          <w:szCs w:val="20"/>
          <w:lang w:eastAsia="hr-HR"/>
        </w:rPr>
        <w:t>OBRAZLOŽENJE OPĆEG DIJELA PRORAČUNA</w:t>
      </w:r>
    </w:p>
    <w:p w14:paraId="316F2E8D" w14:textId="77777777" w:rsidR="009751ED" w:rsidRDefault="009751ED" w:rsidP="007300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CE9BCAB" w14:textId="4F23F4B2" w:rsidR="007300A9" w:rsidRPr="00F11EFC" w:rsidRDefault="00F11EFC" w:rsidP="007300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11EFC">
        <w:rPr>
          <w:rFonts w:ascii="Arial" w:eastAsia="Times New Roman" w:hAnsi="Arial" w:cs="Arial"/>
          <w:b/>
          <w:sz w:val="20"/>
          <w:szCs w:val="20"/>
          <w:lang w:eastAsia="hr-HR"/>
        </w:rPr>
        <w:t>UVODNE NAPOMENE</w:t>
      </w:r>
    </w:p>
    <w:p w14:paraId="7DB82E3A" w14:textId="77777777" w:rsidR="00F11EFC" w:rsidRPr="006848CB" w:rsidRDefault="00F11EFC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F7E4E9" w14:textId="1D66726E" w:rsidR="007300A9" w:rsidRPr="006848CB" w:rsidRDefault="007300A9" w:rsidP="00647B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Na osnovi članka </w:t>
      </w:r>
      <w:r w:rsidR="00490C59" w:rsidRPr="00943861">
        <w:rPr>
          <w:rFonts w:ascii="Arial" w:eastAsia="Times New Roman" w:hAnsi="Arial" w:cs="Arial"/>
          <w:sz w:val="20"/>
          <w:szCs w:val="20"/>
          <w:lang w:eastAsia="hr-HR"/>
        </w:rPr>
        <w:t>42</w:t>
      </w:r>
      <w:r w:rsidRPr="00943861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Zakona o proračunu (Narodne novine 144/21), predstavničko tijelo jedinice lokalne i područne (regionalne) samouprave donosi proračun za narednu proračunsku godinu i projekcije za sljedeće dvije godine, do konca tekuće godine i to u roku koji omogućuje primjenu proračuna od 1. siječnja godine za koju se donosi proračun. Uz proračun se donosi i </w:t>
      </w:r>
      <w:r w:rsidR="00647BCB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dluka o izvršavanju proračuna</w:t>
      </w:r>
      <w:r w:rsidR="00647BCB">
        <w:rPr>
          <w:rFonts w:ascii="Arial" w:eastAsia="Times New Roman" w:hAnsi="Arial" w:cs="Arial"/>
          <w:sz w:val="20"/>
          <w:szCs w:val="20"/>
          <w:lang w:eastAsia="hr-HR"/>
        </w:rPr>
        <w:t xml:space="preserve"> Grada Zagreba za 2023. kao i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47BCB">
        <w:rPr>
          <w:rFonts w:ascii="Arial" w:eastAsia="Times New Roman" w:hAnsi="Arial" w:cs="Arial"/>
          <w:sz w:val="20"/>
          <w:szCs w:val="20"/>
          <w:lang w:eastAsia="hr-HR"/>
        </w:rPr>
        <w:t xml:space="preserve">Plan </w:t>
      </w:r>
      <w:r w:rsidR="00647BCB" w:rsidRPr="00647BCB">
        <w:rPr>
          <w:rFonts w:ascii="Arial" w:eastAsia="Times New Roman" w:hAnsi="Arial" w:cs="Arial"/>
          <w:sz w:val="20"/>
          <w:szCs w:val="20"/>
          <w:lang w:eastAsia="hr-HR"/>
        </w:rPr>
        <w:t>uravnoteženja proračuna Grada Zagreba za razdoblje od 2023. do 2025.</w:t>
      </w:r>
      <w:r w:rsidR="00647B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Donošenjem navedenih dokumenata omogućava se financiranje poslova i programa radi ostvarivanja javnih interesa i potreba građana.</w:t>
      </w:r>
    </w:p>
    <w:p w14:paraId="7A156AA0" w14:textId="77777777" w:rsidR="007300A9" w:rsidRPr="006848CB" w:rsidRDefault="007300A9" w:rsidP="00E347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2A86DDE" w14:textId="2B320B9C" w:rsidR="007300A9" w:rsidRDefault="007300A9" w:rsidP="00E347C7">
      <w:pPr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6848CB">
        <w:rPr>
          <w:rFonts w:ascii="Arial" w:hAnsi="Arial" w:cs="Arial"/>
          <w:spacing w:val="-3"/>
          <w:sz w:val="20"/>
          <w:szCs w:val="20"/>
        </w:rPr>
        <w:t>Najznačajnije promjene koje utječu na proces proračunskog planiranja za razdoblje 2023. - 2025. sadržane su u novom Zakonu o proračunu i Zakonu o uvođenju eura kao službene valute u Republici Hrvatskoj (Narodne novine 57/22 i 88/22). Odredbe novog Zakona o proračunu koji je stupio na snagu 1. siječnja 2022., a vezane za izradu, predlaganje i donošenje proračuna i financijskih planova po prvi puta se primjenjuju za proračunsko razdoblje 2023. - 2025</w:t>
      </w:r>
      <w:r w:rsidRPr="006848CB">
        <w:rPr>
          <w:rFonts w:ascii="Arial" w:hAnsi="Arial" w:cs="Arial"/>
          <w:b/>
          <w:spacing w:val="-3"/>
          <w:sz w:val="20"/>
          <w:szCs w:val="20"/>
        </w:rPr>
        <w:t>. Nadalje, proračun i financijski planovi za razdoblje 2023. - 2025. usvajaju se u novoj valuti euro, što proizlazi iz Zakona o uvođenju eura</w:t>
      </w:r>
      <w:r w:rsidR="00490C59">
        <w:rPr>
          <w:rFonts w:ascii="Arial" w:hAnsi="Arial" w:cs="Arial"/>
          <w:b/>
          <w:spacing w:val="-3"/>
          <w:sz w:val="20"/>
          <w:szCs w:val="20"/>
        </w:rPr>
        <w:t xml:space="preserve"> kao službene valute u Republici Hrvatskoj</w:t>
      </w:r>
      <w:r w:rsidRPr="006848CB">
        <w:rPr>
          <w:rFonts w:ascii="Arial" w:hAnsi="Arial" w:cs="Arial"/>
          <w:b/>
          <w:spacing w:val="-3"/>
          <w:sz w:val="20"/>
          <w:szCs w:val="20"/>
        </w:rPr>
        <w:t>.</w:t>
      </w:r>
    </w:p>
    <w:p w14:paraId="39F43A30" w14:textId="77777777" w:rsidR="00490C59" w:rsidRPr="006848CB" w:rsidRDefault="00490C59" w:rsidP="00E347C7">
      <w:pPr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328BAD4C" w14:textId="41EF00E4" w:rsidR="007300A9" w:rsidRPr="006848CB" w:rsidRDefault="007300A9" w:rsidP="00E347C7">
      <w:pPr>
        <w:pStyle w:val="P1"/>
        <w:numPr>
          <w:ilvl w:val="0"/>
          <w:numId w:val="0"/>
        </w:numPr>
        <w:spacing w:before="0" w:after="0"/>
        <w:rPr>
          <w:rFonts w:cs="Arial"/>
          <w:color w:val="auto"/>
          <w:spacing w:val="-3"/>
          <w:szCs w:val="20"/>
        </w:rPr>
      </w:pPr>
      <w:r w:rsidRPr="006848CB">
        <w:rPr>
          <w:rFonts w:cs="Arial"/>
          <w:color w:val="auto"/>
          <w:spacing w:val="-3"/>
          <w:szCs w:val="20"/>
        </w:rPr>
        <w:t xml:space="preserve">Programom konvergencije Republike Hrvatske za razdoblje 2023. - 2025. </w:t>
      </w:r>
      <w:r w:rsidR="00D863BE">
        <w:rPr>
          <w:rFonts w:cs="Arial"/>
          <w:color w:val="auto"/>
          <w:spacing w:val="-3"/>
          <w:szCs w:val="20"/>
        </w:rPr>
        <w:t xml:space="preserve">iz travnja 2022. </w:t>
      </w:r>
      <w:r w:rsidRPr="006848CB">
        <w:rPr>
          <w:rFonts w:cs="Arial"/>
          <w:color w:val="auto"/>
          <w:spacing w:val="-3"/>
          <w:szCs w:val="20"/>
        </w:rPr>
        <w:t>dan je makroekonomski okvir u srednjoročnom razdoblju. Prema navedenim makroekonomskim projekcijama, očekuje se da će nakon rasta BDP-a od 3,0% u 2022., rast BDP-a opet ubrzati na 4,4% u 2023. godini. Tijekom srednjoročnog razdoblja očekuje se nastavak rasta gospodarske aktivnosti po usporavajućoj dinamici od 2,7% u 2024. te 2,5% u 2025. godini. U 2022. godini očekuje se ubrzanje inflacije potrošačkih cijena na razinu od 7,8%, koja će potom u 2023. godini usporiti na 3,7%.</w:t>
      </w:r>
    </w:p>
    <w:p w14:paraId="338419AC" w14:textId="77777777" w:rsidR="007300A9" w:rsidRPr="006848CB" w:rsidRDefault="007300A9" w:rsidP="007300A9">
      <w:pPr>
        <w:pStyle w:val="P1"/>
        <w:numPr>
          <w:ilvl w:val="0"/>
          <w:numId w:val="0"/>
        </w:numPr>
        <w:spacing w:before="0" w:after="0"/>
        <w:rPr>
          <w:rFonts w:cs="Arial"/>
          <w:color w:val="auto"/>
          <w:spacing w:val="-3"/>
          <w:szCs w:val="20"/>
        </w:rPr>
      </w:pPr>
    </w:p>
    <w:p w14:paraId="6DD9A5E3" w14:textId="77777777" w:rsidR="007300A9" w:rsidRPr="006848CB" w:rsidRDefault="007300A9" w:rsidP="007300A9">
      <w:pPr>
        <w:pStyle w:val="P1"/>
        <w:numPr>
          <w:ilvl w:val="0"/>
          <w:numId w:val="0"/>
        </w:numPr>
        <w:spacing w:before="0" w:after="0"/>
        <w:rPr>
          <w:rFonts w:cs="Arial"/>
          <w:color w:val="auto"/>
          <w:spacing w:val="-3"/>
          <w:szCs w:val="20"/>
        </w:rPr>
      </w:pPr>
    </w:p>
    <w:p w14:paraId="51BDDD77" w14:textId="15A5EF89" w:rsidR="007300A9" w:rsidRPr="00490C59" w:rsidRDefault="007300A9" w:rsidP="00490C59">
      <w:pPr>
        <w:pStyle w:val="Caption"/>
        <w:spacing w:before="0" w:after="0"/>
        <w:ind w:left="0"/>
        <w:jc w:val="left"/>
        <w:rPr>
          <w:rFonts w:ascii="Arial" w:hAnsi="Arial" w:cs="Arial"/>
          <w:b w:val="0"/>
          <w:i/>
          <w:lang w:val="hr-HR"/>
        </w:rPr>
      </w:pPr>
      <w:r w:rsidRPr="00490C59">
        <w:rPr>
          <w:rFonts w:ascii="Arial" w:hAnsi="Arial" w:cs="Arial"/>
          <w:b w:val="0"/>
          <w:i/>
          <w:lang w:val="hr-HR"/>
        </w:rPr>
        <w:t xml:space="preserve">Tablica </w:t>
      </w:r>
      <w:r w:rsidRPr="00490C59">
        <w:rPr>
          <w:rFonts w:ascii="Arial" w:hAnsi="Arial" w:cs="Arial"/>
          <w:b w:val="0"/>
          <w:i/>
          <w:lang w:val="hr-HR"/>
        </w:rPr>
        <w:fldChar w:fldCharType="begin"/>
      </w:r>
      <w:r w:rsidRPr="00490C59">
        <w:rPr>
          <w:rFonts w:ascii="Arial" w:hAnsi="Arial" w:cs="Arial"/>
          <w:b w:val="0"/>
          <w:i/>
          <w:lang w:val="hr-HR"/>
        </w:rPr>
        <w:instrText xml:space="preserve"> SEQ Tablica \* ARABIC </w:instrText>
      </w:r>
      <w:r w:rsidRPr="00490C59">
        <w:rPr>
          <w:rFonts w:ascii="Arial" w:hAnsi="Arial" w:cs="Arial"/>
          <w:b w:val="0"/>
          <w:i/>
          <w:lang w:val="hr-HR"/>
        </w:rPr>
        <w:fldChar w:fldCharType="separate"/>
      </w:r>
      <w:r w:rsidR="00D763AF">
        <w:rPr>
          <w:rFonts w:ascii="Arial" w:hAnsi="Arial" w:cs="Arial"/>
          <w:b w:val="0"/>
          <w:i/>
          <w:noProof/>
          <w:lang w:val="hr-HR"/>
        </w:rPr>
        <w:t>1</w:t>
      </w:r>
      <w:r w:rsidRPr="00490C59">
        <w:rPr>
          <w:rFonts w:ascii="Arial" w:hAnsi="Arial" w:cs="Arial"/>
          <w:b w:val="0"/>
          <w:i/>
          <w:lang w:val="hr-HR"/>
        </w:rPr>
        <w:fldChar w:fldCharType="end"/>
      </w:r>
      <w:r w:rsidRPr="00490C59">
        <w:rPr>
          <w:rFonts w:ascii="Arial" w:hAnsi="Arial" w:cs="Arial"/>
          <w:b w:val="0"/>
          <w:i/>
          <w:lang w:val="hr-HR"/>
        </w:rPr>
        <w:t>: Projekcije makroekonomskih pokazatelja Republike Hrvatske</w:t>
      </w:r>
    </w:p>
    <w:tbl>
      <w:tblPr>
        <w:tblW w:w="942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022"/>
        <w:gridCol w:w="1191"/>
        <w:gridCol w:w="1171"/>
        <w:gridCol w:w="1171"/>
        <w:gridCol w:w="1181"/>
      </w:tblGrid>
      <w:tr w:rsidR="006848CB" w:rsidRPr="006848CB" w14:paraId="3E4FA865" w14:textId="77777777" w:rsidTr="00943861">
        <w:trPr>
          <w:trHeight w:hRule="exact" w:val="2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7BE5FC90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41171474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2D786E99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Projekcija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0037AFD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Projekcija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7362615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Projekcija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203C247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Projekcija</w:t>
            </w:r>
          </w:p>
        </w:tc>
      </w:tr>
      <w:tr w:rsidR="006848CB" w:rsidRPr="006848CB" w14:paraId="1CE70300" w14:textId="77777777" w:rsidTr="00943861">
        <w:trPr>
          <w:trHeight w:hRule="exact" w:val="259"/>
        </w:trPr>
        <w:tc>
          <w:tcPr>
            <w:tcW w:w="3686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</w:tcPr>
          <w:p w14:paraId="10FC0941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2FFBBEEF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2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67D892C4" w14:textId="77777777" w:rsidR="007300A9" w:rsidRPr="006848CB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7A834F07" w14:textId="77777777" w:rsidR="007300A9" w:rsidRPr="006848CB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1A7BB9FA" w14:textId="77777777" w:rsidR="007300A9" w:rsidRPr="006848CB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179A7E2B" w14:textId="77777777" w:rsidR="007300A9" w:rsidRPr="006848CB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</w:tr>
      <w:tr w:rsidR="006848CB" w:rsidRPr="006848CB" w14:paraId="1176A7EE" w14:textId="77777777" w:rsidTr="00943861">
        <w:trPr>
          <w:trHeight w:hRule="exact" w:val="351"/>
        </w:trPr>
        <w:tc>
          <w:tcPr>
            <w:tcW w:w="3686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656AE67F" w14:textId="77777777" w:rsidR="007300A9" w:rsidRPr="00943861" w:rsidRDefault="007300A9" w:rsidP="0099170D">
            <w:pPr>
              <w:widowControl w:val="0"/>
              <w:kinsoku w:val="0"/>
              <w:overflowPunct w:val="0"/>
              <w:ind w:left="4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3861">
              <w:rPr>
                <w:rFonts w:ascii="Arial" w:hAnsi="Arial" w:cs="Arial"/>
                <w:sz w:val="20"/>
                <w:szCs w:val="20"/>
              </w:rPr>
              <w:t>BDP - realni rast (%)</w:t>
            </w:r>
          </w:p>
        </w:tc>
        <w:tc>
          <w:tcPr>
            <w:tcW w:w="1022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51198BA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191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5C0E4BC5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71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2B7DABD2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171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0F35564F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181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0C3CBEF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6848CB" w:rsidRPr="006848CB" w14:paraId="3F2D37AB" w14:textId="77777777" w:rsidTr="00943861">
        <w:trPr>
          <w:trHeight w:hRule="exact"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510A8" w14:textId="798FF5FB" w:rsidR="007300A9" w:rsidRPr="006848CB" w:rsidRDefault="00687D41" w:rsidP="00687D41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300A9" w:rsidRPr="006848CB">
              <w:rPr>
                <w:rFonts w:ascii="Arial" w:hAnsi="Arial" w:cs="Arial"/>
                <w:sz w:val="20"/>
                <w:szCs w:val="20"/>
              </w:rPr>
              <w:t>Osobna potrošnja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C38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65C0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2D2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D1A4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A668E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6848CB" w:rsidRPr="006848CB" w14:paraId="54CA6BC7" w14:textId="77777777" w:rsidTr="00943861">
        <w:trPr>
          <w:trHeight w:hRule="exact"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6C0B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Državna potrošnja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C26E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C70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96C4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A8B4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3AAC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6848CB" w:rsidRPr="006848CB" w14:paraId="25D4F41A" w14:textId="77777777" w:rsidTr="00943861">
        <w:trPr>
          <w:trHeight w:hRule="exact"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9E03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Bruto investicije u fiksni kapital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C86F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5212A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361A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683A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9386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</w:tr>
      <w:tr w:rsidR="006848CB" w:rsidRPr="006848CB" w14:paraId="49F95FEC" w14:textId="77777777" w:rsidTr="00943861">
        <w:trPr>
          <w:trHeight w:hRule="exact"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54905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Izvoz roba i usluga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3685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6B8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9D4E4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126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08F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6848CB" w:rsidRPr="006848CB" w14:paraId="6414C558" w14:textId="77777777" w:rsidTr="00943861">
        <w:trPr>
          <w:trHeight w:hRule="exact"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B94C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Izvoz roba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8D4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8939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344E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6E25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81E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</w:tr>
      <w:tr w:rsidR="006848CB" w:rsidRPr="006848CB" w14:paraId="5FB9E0A7" w14:textId="77777777" w:rsidTr="00943861">
        <w:trPr>
          <w:trHeight w:hRule="exact"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9FC2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Izvoz usluga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805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393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A70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810C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8A7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6848CB" w:rsidRPr="006848CB" w14:paraId="7BC5D0C7" w14:textId="77777777" w:rsidTr="00943861">
        <w:trPr>
          <w:trHeight w:hRule="exact" w:val="2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C5662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Uvoz roba i usluga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E72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F52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491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BC25C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C1671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</w:tr>
      <w:tr w:rsidR="006848CB" w:rsidRPr="006848CB" w14:paraId="4B0C6124" w14:textId="77777777" w:rsidTr="00943861">
        <w:trPr>
          <w:trHeight w:hRule="exact"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596D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Uvoz roba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A39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758A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2B3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100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1C7D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6848CB" w:rsidRPr="006848CB" w14:paraId="74250F1A" w14:textId="77777777" w:rsidTr="00943861">
        <w:trPr>
          <w:trHeight w:hRule="exact"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77A6B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Uvoz usluga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3AA2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119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FB2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332C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076F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</w:tr>
      <w:tr w:rsidR="006848CB" w:rsidRPr="006848CB" w14:paraId="31AD5F34" w14:textId="77777777" w:rsidTr="00943861">
        <w:trPr>
          <w:trHeight w:hRule="exact"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5A38" w14:textId="77777777" w:rsidR="007300A9" w:rsidRPr="00943861" w:rsidRDefault="007300A9" w:rsidP="0099170D">
            <w:pPr>
              <w:widowControl w:val="0"/>
              <w:kinsoku w:val="0"/>
              <w:overflowPunct w:val="0"/>
              <w:ind w:left="4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3861">
              <w:rPr>
                <w:rFonts w:ascii="Arial" w:hAnsi="Arial" w:cs="Arial"/>
                <w:sz w:val="20"/>
                <w:szCs w:val="20"/>
              </w:rPr>
              <w:t>Doprinosi rastu BDP-a (postotni bodovi)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0AF0743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B664EA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14A3B1B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7CA22F9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0AC6BB9" w14:textId="77777777" w:rsidR="007300A9" w:rsidRPr="006848CB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8CB" w:rsidRPr="006848CB" w14:paraId="29EB7A27" w14:textId="77777777" w:rsidTr="00943861">
        <w:trPr>
          <w:trHeight w:hRule="exact"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1884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Domaća potražnja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7CD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1D5E5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811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337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031F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6848CB" w:rsidRPr="006848CB" w14:paraId="3ED3D87E" w14:textId="77777777" w:rsidTr="00943861">
        <w:trPr>
          <w:trHeight w:hRule="exact"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055B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Promjena zaliha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C501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-4,9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9E7A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834A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927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A36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848CB" w:rsidRPr="006848CB" w14:paraId="49D9A9FE" w14:textId="77777777" w:rsidTr="00943861">
        <w:trPr>
          <w:trHeight w:hRule="exact"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3735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Neto inozemna potražnja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D981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D6E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EF6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FE9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694D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848CB" w:rsidRPr="006848CB" w14:paraId="550904A4" w14:textId="77777777" w:rsidTr="00943861">
        <w:trPr>
          <w:trHeight w:hRule="exact" w:val="34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E5B4898" w14:textId="113C784F" w:rsidR="007300A9" w:rsidRPr="00943861" w:rsidRDefault="007300A9" w:rsidP="00687D41">
            <w:pPr>
              <w:widowControl w:val="0"/>
              <w:kinsoku w:val="0"/>
              <w:overflowPunct w:val="0"/>
              <w:ind w:left="144" w:right="252" w:hanging="72"/>
              <w:textAlignment w:val="baseline"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943861">
              <w:rPr>
                <w:rFonts w:ascii="Arial" w:hAnsi="Arial" w:cs="Arial"/>
                <w:spacing w:val="-7"/>
                <w:sz w:val="20"/>
                <w:szCs w:val="20"/>
              </w:rPr>
              <w:t xml:space="preserve">Doprinosi rastu BDP-a (postotni bodovi)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CC875" w14:textId="5A0EACA8" w:rsidR="007300A9" w:rsidRPr="006848CB" w:rsidRDefault="007300A9" w:rsidP="0099170D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31728" w14:textId="7B9D3BDE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C2D86" w14:textId="75CE04DB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B5F46" w14:textId="62A1D750" w:rsidR="007300A9" w:rsidRPr="006848CB" w:rsidRDefault="007300A9" w:rsidP="0099170D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2C1FE" w14:textId="5C0FBBBB" w:rsidR="007300A9" w:rsidRPr="006848CB" w:rsidRDefault="007300A9" w:rsidP="0099170D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41" w:rsidRPr="006848CB" w14:paraId="1B84FD17" w14:textId="77777777" w:rsidTr="00943861">
        <w:trPr>
          <w:trHeight w:hRule="exact"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1286" w14:textId="57E01D87" w:rsidR="00687D41" w:rsidRPr="006848CB" w:rsidRDefault="00687D41" w:rsidP="00687D41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pacing w:val="-7"/>
                <w:sz w:val="20"/>
                <w:szCs w:val="20"/>
              </w:rPr>
              <w:t>Osobna potrošnja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E7227" w14:textId="03941641" w:rsidR="00687D41" w:rsidRPr="006848CB" w:rsidRDefault="00687D41" w:rsidP="00687D41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02FC" w14:textId="63267262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53598" w14:textId="54FF1156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DCF6" w14:textId="5848F41F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AB3EA" w14:textId="01CA27FA" w:rsidR="00687D41" w:rsidRPr="006848CB" w:rsidRDefault="00687D41" w:rsidP="00687D41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687D41" w:rsidRPr="006848CB" w14:paraId="26AC7B45" w14:textId="77777777" w:rsidTr="00943861">
        <w:trPr>
          <w:trHeight w:hRule="exact"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D979" w14:textId="77777777" w:rsidR="00687D41" w:rsidRPr="006848CB" w:rsidRDefault="00687D41" w:rsidP="00687D41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Državna potrošnja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E540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9B079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0545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16D0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EF06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687D41" w:rsidRPr="006848CB" w14:paraId="248DA732" w14:textId="77777777" w:rsidTr="00943861">
        <w:trPr>
          <w:trHeight w:hRule="exact"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C17C" w14:textId="77777777" w:rsidR="00687D41" w:rsidRPr="006848CB" w:rsidRDefault="00687D41" w:rsidP="00687D41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Bruto investicije u fiksni kapital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8D75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B26C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4A8CF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E34A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882C6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687D41" w:rsidRPr="006848CB" w14:paraId="5B2924C9" w14:textId="77777777" w:rsidTr="00943861">
        <w:trPr>
          <w:trHeight w:hRule="exact"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3E4A8" w14:textId="77777777" w:rsidR="00687D41" w:rsidRPr="006848CB" w:rsidRDefault="00687D41" w:rsidP="00687D41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Izvoz roba i usluga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E369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1FF0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23080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7112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9FD2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687D41" w:rsidRPr="006848CB" w14:paraId="2320450B" w14:textId="77777777" w:rsidTr="00943861">
        <w:trPr>
          <w:trHeight w:hRule="exact" w:val="250"/>
        </w:trPr>
        <w:tc>
          <w:tcPr>
            <w:tcW w:w="3686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547529A1" w14:textId="77777777" w:rsidR="00687D41" w:rsidRPr="006848CB" w:rsidRDefault="00687D41" w:rsidP="00687D41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Uvoz roba i usluga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2DCAF3EF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3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-7,2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5DFCE79F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4A4EA9C2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46D36000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1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3616C8C0" w14:textId="77777777" w:rsidR="00687D41" w:rsidRPr="006848CB" w:rsidRDefault="00687D41" w:rsidP="00687D41">
            <w:pPr>
              <w:widowControl w:val="0"/>
              <w:kinsoku w:val="0"/>
              <w:overflowPunct w:val="0"/>
              <w:ind w:right="221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-2,1</w:t>
            </w:r>
          </w:p>
        </w:tc>
      </w:tr>
    </w:tbl>
    <w:p w14:paraId="280581ED" w14:textId="77777777" w:rsidR="007300A9" w:rsidRPr="006848CB" w:rsidRDefault="007300A9" w:rsidP="007300A9">
      <w:pPr>
        <w:rPr>
          <w:rFonts w:ascii="Arial" w:eastAsia="Calibri" w:hAnsi="Arial" w:cs="Arial"/>
          <w:i/>
          <w:sz w:val="20"/>
          <w:szCs w:val="20"/>
        </w:rPr>
      </w:pPr>
      <w:r w:rsidRPr="006848CB">
        <w:rPr>
          <w:rFonts w:ascii="Arial" w:eastAsia="Calibri" w:hAnsi="Arial" w:cs="Arial"/>
          <w:bCs/>
          <w:i/>
          <w:sz w:val="20"/>
          <w:szCs w:val="20"/>
        </w:rPr>
        <w:t>Izvor: DZS, Ministarstvo financija</w:t>
      </w:r>
      <w:r w:rsidRPr="006848CB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61D3BD71" w14:textId="77777777" w:rsidR="00943861" w:rsidRDefault="00943861" w:rsidP="002C49B8">
      <w:pPr>
        <w:pStyle w:val="Caption"/>
        <w:spacing w:before="0" w:after="0"/>
        <w:ind w:left="0"/>
        <w:jc w:val="left"/>
        <w:rPr>
          <w:rFonts w:ascii="Arial" w:hAnsi="Arial" w:cs="Arial"/>
          <w:b w:val="0"/>
          <w:i/>
          <w:lang w:val="hr-HR"/>
        </w:rPr>
      </w:pPr>
      <w:bookmarkStart w:id="0" w:name="_Toc241462767"/>
      <w:bookmarkStart w:id="1" w:name="_Toc241556996"/>
    </w:p>
    <w:p w14:paraId="0924FF37" w14:textId="14D132D6" w:rsidR="00943861" w:rsidRDefault="00943861" w:rsidP="002C49B8">
      <w:pPr>
        <w:pStyle w:val="Caption"/>
        <w:spacing w:before="0" w:after="0"/>
        <w:ind w:left="0"/>
        <w:jc w:val="left"/>
        <w:rPr>
          <w:rFonts w:ascii="Arial" w:hAnsi="Arial" w:cs="Arial"/>
          <w:b w:val="0"/>
          <w:i/>
          <w:lang w:val="hr-HR"/>
        </w:rPr>
      </w:pPr>
    </w:p>
    <w:p w14:paraId="3897FD3B" w14:textId="39DA90D5" w:rsidR="004A0BFF" w:rsidRDefault="004A0BFF" w:rsidP="004A0BFF"/>
    <w:p w14:paraId="10F31166" w14:textId="57EF3D9C" w:rsidR="004A0BFF" w:rsidRDefault="004A0BFF" w:rsidP="004A0BFF"/>
    <w:p w14:paraId="4F7FE794" w14:textId="13178A65" w:rsidR="007300A9" w:rsidRPr="00490C59" w:rsidRDefault="007300A9" w:rsidP="002C49B8">
      <w:pPr>
        <w:pStyle w:val="Caption"/>
        <w:spacing w:before="0" w:after="0"/>
        <w:ind w:left="0"/>
        <w:jc w:val="left"/>
        <w:rPr>
          <w:rFonts w:ascii="Arial" w:hAnsi="Arial" w:cs="Arial"/>
          <w:b w:val="0"/>
          <w:i/>
          <w:lang w:val="hr-HR"/>
        </w:rPr>
      </w:pPr>
      <w:r w:rsidRPr="00490C59">
        <w:rPr>
          <w:rFonts w:ascii="Arial" w:hAnsi="Arial" w:cs="Arial"/>
          <w:b w:val="0"/>
          <w:i/>
          <w:lang w:val="hr-HR"/>
        </w:rPr>
        <w:lastRenderedPageBreak/>
        <w:t>Tablica 2: Kretanje cijena</w:t>
      </w: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1142"/>
        <w:gridCol w:w="1166"/>
        <w:gridCol w:w="1080"/>
        <w:gridCol w:w="1080"/>
        <w:gridCol w:w="1090"/>
      </w:tblGrid>
      <w:tr w:rsidR="006848CB" w:rsidRPr="00943861" w14:paraId="2C4CD59B" w14:textId="77777777" w:rsidTr="00943861">
        <w:trPr>
          <w:trHeight w:hRule="exact" w:val="216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78E3FCB8" w14:textId="77777777" w:rsidR="007300A9" w:rsidRPr="00943861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5D630485" w14:textId="77777777" w:rsidR="007300A9" w:rsidRPr="00943861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3AB14EE3" w14:textId="77777777" w:rsidR="007300A9" w:rsidRPr="00943861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3F2C3BDF" w14:textId="77777777" w:rsidR="007300A9" w:rsidRPr="00943861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1F01B8F3" w14:textId="77777777" w:rsidR="007300A9" w:rsidRPr="00943861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  <w:vAlign w:val="center"/>
          </w:tcPr>
          <w:p w14:paraId="2020FB13" w14:textId="77777777" w:rsidR="007300A9" w:rsidRPr="00943861" w:rsidRDefault="007300A9" w:rsidP="0099170D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</w:tr>
      <w:tr w:rsidR="006848CB" w:rsidRPr="00943861" w14:paraId="02FCE674" w14:textId="77777777" w:rsidTr="00943861">
        <w:trPr>
          <w:trHeight w:hRule="exact" w:val="245"/>
        </w:trPr>
        <w:tc>
          <w:tcPr>
            <w:tcW w:w="3940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</w:tcPr>
          <w:p w14:paraId="1AAB5CA6" w14:textId="77777777" w:rsidR="007300A9" w:rsidRPr="00943861" w:rsidRDefault="007300A9" w:rsidP="0099170D">
            <w:pPr>
              <w:widowControl w:val="0"/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3B0E0EC4" w14:textId="77777777" w:rsidR="007300A9" w:rsidRPr="00943861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25595377" w14:textId="77777777" w:rsidR="007300A9" w:rsidRPr="00943861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2022.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6EE3C309" w14:textId="77777777" w:rsidR="007300A9" w:rsidRPr="00943861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2023.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32BE2310" w14:textId="77777777" w:rsidR="007300A9" w:rsidRPr="00943861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2024.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1" w:space="0" w:color="auto"/>
              <w:right w:val="nil"/>
            </w:tcBorders>
            <w:shd w:val="solid" w:color="99CCFF" w:fill="auto"/>
            <w:vAlign w:val="center"/>
          </w:tcPr>
          <w:p w14:paraId="4353DAC7" w14:textId="77777777" w:rsidR="007300A9" w:rsidRPr="00943861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43861">
              <w:rPr>
                <w:rFonts w:ascii="Arial" w:hAnsi="Arial" w:cs="Arial"/>
                <w:bCs/>
                <w:sz w:val="20"/>
                <w:szCs w:val="20"/>
              </w:rPr>
              <w:t>2025.</w:t>
            </w:r>
          </w:p>
        </w:tc>
      </w:tr>
      <w:tr w:rsidR="006848CB" w:rsidRPr="006848CB" w14:paraId="22E924F1" w14:textId="77777777" w:rsidTr="00943861">
        <w:trPr>
          <w:trHeight w:hRule="exact" w:val="254"/>
        </w:trPr>
        <w:tc>
          <w:tcPr>
            <w:tcW w:w="3940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3B21A1AB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48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Deflator BDP-a, promjena (%)</w:t>
            </w:r>
          </w:p>
        </w:tc>
        <w:tc>
          <w:tcPr>
            <w:tcW w:w="1142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1443F97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166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0EC4FFC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080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369530B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080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147A918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090" w:type="dxa"/>
            <w:tcBorders>
              <w:top w:val="single" w:sz="11" w:space="0" w:color="auto"/>
              <w:left w:val="nil"/>
              <w:bottom w:val="nil"/>
              <w:right w:val="nil"/>
            </w:tcBorders>
            <w:vAlign w:val="center"/>
          </w:tcPr>
          <w:p w14:paraId="3D2DD8F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2,4</w:t>
            </w:r>
          </w:p>
        </w:tc>
      </w:tr>
      <w:tr w:rsidR="006848CB" w:rsidRPr="006848CB" w14:paraId="18BEDD4B" w14:textId="77777777" w:rsidTr="00943861">
        <w:trPr>
          <w:trHeight w:hRule="exact" w:val="24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B07A4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Osobna potrošnja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1137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4A3D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EEA6A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3C6E4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DF42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6848CB" w:rsidRPr="006848CB" w14:paraId="14319B3A" w14:textId="77777777" w:rsidTr="00943861">
        <w:trPr>
          <w:trHeight w:hRule="exact" w:val="24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3287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Državna potrošnja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B4C4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BEC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907E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EE1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CAA9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6848CB" w:rsidRPr="006848CB" w14:paraId="71008506" w14:textId="77777777" w:rsidTr="00943861">
        <w:trPr>
          <w:trHeight w:hRule="exact" w:val="24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ADC7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Bruto investicije u fiksni kapital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7D7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083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1FDB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7095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EDDD2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6848CB" w:rsidRPr="006848CB" w14:paraId="71B214B3" w14:textId="77777777" w:rsidTr="00943861">
        <w:trPr>
          <w:trHeight w:hRule="exact" w:val="24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18D0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Izvoz roba i usluga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B11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7F4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77AC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B055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9684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6848CB" w:rsidRPr="006848CB" w14:paraId="45770DD1" w14:textId="77777777" w:rsidTr="00943861">
        <w:trPr>
          <w:trHeight w:hRule="exact" w:val="24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1DF9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Izvoz roba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B88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733A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11,8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463E4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0A4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2792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6848CB" w:rsidRPr="006848CB" w14:paraId="7EC47FE0" w14:textId="77777777" w:rsidTr="00943861">
        <w:trPr>
          <w:trHeight w:hRule="exact" w:val="24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9D57C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Izvoz usluga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9F42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7D11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EA1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4F71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F5D8C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6848CB" w:rsidRPr="006848CB" w14:paraId="3EDC82B2" w14:textId="77777777" w:rsidTr="00943861">
        <w:trPr>
          <w:trHeight w:hRule="exact" w:val="24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AA12C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13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Uvoz roba i usluga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E4EF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C776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3DF9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62F5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42142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6848CB" w:rsidRPr="006848CB" w14:paraId="67A16059" w14:textId="77777777" w:rsidTr="00943861">
        <w:trPr>
          <w:trHeight w:hRule="exact" w:val="24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B677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Uvoz roba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B7D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81D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12,1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CB0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8370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4CDC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6848CB" w:rsidRPr="006848CB" w14:paraId="4EE3C25E" w14:textId="77777777" w:rsidTr="00943861">
        <w:trPr>
          <w:trHeight w:hRule="exact" w:val="27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1AA9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Uvoz usluga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A78C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1A41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C8E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5DE26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3E88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48CB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6848CB" w:rsidRPr="006848CB" w14:paraId="37AC9A6C" w14:textId="77777777" w:rsidTr="00943861">
        <w:trPr>
          <w:trHeight w:hRule="exact" w:val="241"/>
        </w:trPr>
        <w:tc>
          <w:tcPr>
            <w:tcW w:w="3940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12A47D9F" w14:textId="77777777" w:rsidR="007300A9" w:rsidRPr="006848CB" w:rsidRDefault="007300A9" w:rsidP="0099170D">
            <w:pPr>
              <w:widowControl w:val="0"/>
              <w:kinsoku w:val="0"/>
              <w:overflowPunct w:val="0"/>
              <w:ind w:left="48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Indeks potrošačkih cijena, promjena (%)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4B73FEB3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59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3BFEECDF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3DD20AAB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3DF00BED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2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1" w:space="0" w:color="auto"/>
              <w:right w:val="nil"/>
            </w:tcBorders>
            <w:vAlign w:val="center"/>
          </w:tcPr>
          <w:p w14:paraId="3D0659B7" w14:textId="77777777" w:rsidR="007300A9" w:rsidRPr="006848CB" w:rsidRDefault="007300A9" w:rsidP="0099170D">
            <w:pPr>
              <w:widowControl w:val="0"/>
              <w:kinsoku w:val="0"/>
              <w:overflowPunct w:val="0"/>
              <w:ind w:right="367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8CB">
              <w:rPr>
                <w:rFonts w:ascii="Arial" w:hAnsi="Arial" w:cs="Arial"/>
                <w:b/>
                <w:bCs/>
                <w:sz w:val="20"/>
                <w:szCs w:val="20"/>
              </w:rPr>
              <w:t>2,2</w:t>
            </w:r>
          </w:p>
        </w:tc>
      </w:tr>
    </w:tbl>
    <w:p w14:paraId="73ACEC03" w14:textId="77777777" w:rsidR="007300A9" w:rsidRPr="006848CB" w:rsidRDefault="007300A9" w:rsidP="007300A9">
      <w:pPr>
        <w:rPr>
          <w:rFonts w:ascii="Arial" w:eastAsia="Calibri" w:hAnsi="Arial" w:cs="Arial"/>
          <w:i/>
          <w:sz w:val="20"/>
          <w:szCs w:val="20"/>
        </w:rPr>
      </w:pPr>
      <w:r w:rsidRPr="006848CB">
        <w:rPr>
          <w:rFonts w:ascii="Arial" w:eastAsia="Calibri" w:hAnsi="Arial" w:cs="Arial"/>
          <w:bCs/>
          <w:i/>
          <w:sz w:val="20"/>
          <w:szCs w:val="20"/>
        </w:rPr>
        <w:t>Izvor: DZS, Ministarstvo financija</w:t>
      </w:r>
      <w:r w:rsidRPr="006848CB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7AE691D7" w14:textId="3070411C" w:rsidR="007300A9" w:rsidRPr="006848CB" w:rsidRDefault="007300A9" w:rsidP="007A2D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8CB">
        <w:rPr>
          <w:rFonts w:ascii="Arial" w:hAnsi="Arial" w:cs="Arial"/>
          <w:sz w:val="20"/>
          <w:szCs w:val="20"/>
        </w:rPr>
        <w:t xml:space="preserve">U nadolazećem proračunskom razdoblju očekuje se donošenje Zakona o izmjenama i dopunama Zakona o porezu na dohodak kojim se nastavlja s poreznim rasterećenjem u dijelu koji se odnosi na uzdržavane članove uže obitelji i uzdržavanu djecu. Prijedlogom Zakona je predviđeno povećanje iznosa primitaka kojeg neka osoba može ostvariti i smatrati se uzdržavanim članom s 15.000,00 kuna na 24.000,00 kuna. </w:t>
      </w:r>
      <w:bookmarkStart w:id="2" w:name="_Hlk106356406"/>
      <w:r w:rsidRPr="006848CB">
        <w:rPr>
          <w:rFonts w:ascii="Arial" w:hAnsi="Arial" w:cs="Arial"/>
          <w:sz w:val="20"/>
          <w:szCs w:val="20"/>
        </w:rPr>
        <w:t xml:space="preserve">S obzirom na predložene promjene procjenjuje se da će isto imati utjecaj na smanjenje prihoda Grada s osnove poreza na dohodak i prireza u ukupnom iznosu cca </w:t>
      </w:r>
      <w:r w:rsidR="00674C4B">
        <w:rPr>
          <w:rFonts w:ascii="Arial" w:hAnsi="Arial" w:cs="Arial"/>
          <w:sz w:val="20"/>
          <w:szCs w:val="20"/>
        </w:rPr>
        <w:t>150</w:t>
      </w:r>
      <w:r w:rsidRPr="006848CB">
        <w:rPr>
          <w:rFonts w:ascii="Arial" w:hAnsi="Arial" w:cs="Arial"/>
          <w:sz w:val="20"/>
          <w:szCs w:val="20"/>
        </w:rPr>
        <w:t xml:space="preserve"> milijuna kuna.</w:t>
      </w:r>
      <w:bookmarkEnd w:id="2"/>
    </w:p>
    <w:p w14:paraId="7A75E215" w14:textId="77777777" w:rsidR="007300A9" w:rsidRPr="006848CB" w:rsidRDefault="007300A9" w:rsidP="007300A9">
      <w:pPr>
        <w:pStyle w:val="P1"/>
        <w:numPr>
          <w:ilvl w:val="0"/>
          <w:numId w:val="0"/>
        </w:numPr>
        <w:spacing w:before="0" w:after="0"/>
        <w:rPr>
          <w:rFonts w:cs="Arial"/>
          <w:color w:val="auto"/>
          <w:szCs w:val="20"/>
        </w:rPr>
      </w:pPr>
      <w:r w:rsidRPr="006848CB">
        <w:rPr>
          <w:rFonts w:cs="Arial"/>
          <w:color w:val="auto"/>
          <w:szCs w:val="20"/>
        </w:rPr>
        <w:t xml:space="preserve">Iako Vlada RH predviđa ubrzanje rasta u 2023. i usporavanje inflacije u odnosu na 2022. godinu, prihodi gradskog proračuna i dalje su pod utjecajem prethodno uvedenih poreznih rasterećenja i poreznih olakšica za mlade jednako kao i poreznih rasterećenja koje se očekuju u 2023. </w:t>
      </w:r>
    </w:p>
    <w:p w14:paraId="176F3EEF" w14:textId="77777777" w:rsidR="007300A9" w:rsidRPr="006848CB" w:rsidRDefault="007300A9" w:rsidP="007300A9">
      <w:pPr>
        <w:pStyle w:val="P1"/>
        <w:numPr>
          <w:ilvl w:val="0"/>
          <w:numId w:val="0"/>
        </w:numPr>
        <w:spacing w:before="0" w:after="0"/>
        <w:rPr>
          <w:rFonts w:cs="Arial"/>
          <w:color w:val="auto"/>
          <w:szCs w:val="20"/>
        </w:rPr>
      </w:pPr>
    </w:p>
    <w:bookmarkEnd w:id="0"/>
    <w:bookmarkEnd w:id="1"/>
    <w:p w14:paraId="21CE21AE" w14:textId="77777777" w:rsidR="007300A9" w:rsidRPr="006848CB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bCs/>
          <w:color w:val="auto"/>
          <w:szCs w:val="20"/>
        </w:rPr>
      </w:pPr>
      <w:r w:rsidRPr="006848CB">
        <w:rPr>
          <w:rFonts w:cs="Arial"/>
          <w:color w:val="auto"/>
          <w:szCs w:val="20"/>
        </w:rPr>
        <w:t>U tijeku je donošenje Plana razvoja Grada Zagreba za razdoblje 2021. - 2027. kao srednjoročnog akta strateškog planiranja koji će definirati ključne odrednice razvoja Grada u predmetnom razdoblju. Prema prijedlogu strateškog okvira Plana razvoja Grada Zagreba za razdoblje 2021. - 2027., p</w:t>
      </w:r>
      <w:r w:rsidRPr="006848CB">
        <w:rPr>
          <w:rFonts w:cs="Arial"/>
          <w:bCs/>
          <w:color w:val="auto"/>
          <w:szCs w:val="20"/>
        </w:rPr>
        <w:t xml:space="preserve">rioriteti javnih politika razvoja Grada Zagreba u srednjoročnom razdoblju, odabrani u skladu sa zaključcima provedene analize razvojnih potreba i potencijala, su: </w:t>
      </w:r>
    </w:p>
    <w:p w14:paraId="7BEED54B" w14:textId="77777777" w:rsidR="007300A9" w:rsidRPr="006848CB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bCs/>
          <w:color w:val="auto"/>
          <w:szCs w:val="20"/>
        </w:rPr>
      </w:pPr>
    </w:p>
    <w:p w14:paraId="14798A39" w14:textId="77777777" w:rsidR="007300A9" w:rsidRPr="006848CB" w:rsidRDefault="007300A9" w:rsidP="00CB295F">
      <w:pPr>
        <w:pStyle w:val="H2"/>
        <w:numPr>
          <w:ilvl w:val="1"/>
          <w:numId w:val="5"/>
        </w:numPr>
        <w:spacing w:after="0"/>
        <w:rPr>
          <w:rFonts w:cs="Arial"/>
          <w:color w:val="auto"/>
          <w:szCs w:val="20"/>
        </w:rPr>
      </w:pPr>
      <w:r w:rsidRPr="006848CB">
        <w:rPr>
          <w:rFonts w:cs="Arial"/>
          <w:bCs/>
          <w:color w:val="auto"/>
          <w:szCs w:val="20"/>
        </w:rPr>
        <w:t>Zeleno i otporno gospodarstvo</w:t>
      </w:r>
    </w:p>
    <w:p w14:paraId="15B85672" w14:textId="77777777" w:rsidR="007300A9" w:rsidRPr="006848CB" w:rsidRDefault="007300A9" w:rsidP="00CB295F">
      <w:pPr>
        <w:pStyle w:val="H2"/>
        <w:numPr>
          <w:ilvl w:val="1"/>
          <w:numId w:val="5"/>
        </w:numPr>
        <w:spacing w:after="0"/>
        <w:rPr>
          <w:rFonts w:cs="Arial"/>
          <w:color w:val="auto"/>
          <w:szCs w:val="20"/>
        </w:rPr>
      </w:pPr>
      <w:r w:rsidRPr="006848CB">
        <w:rPr>
          <w:rFonts w:cs="Arial"/>
          <w:bCs/>
          <w:color w:val="auto"/>
          <w:szCs w:val="20"/>
        </w:rPr>
        <w:t>Veća društvena jednakost i kvalitetne i dostupne društvene usluge</w:t>
      </w:r>
    </w:p>
    <w:p w14:paraId="5BD90D8F" w14:textId="77777777" w:rsidR="007300A9" w:rsidRPr="006848CB" w:rsidRDefault="007300A9" w:rsidP="00CB295F">
      <w:pPr>
        <w:pStyle w:val="H2"/>
        <w:numPr>
          <w:ilvl w:val="1"/>
          <w:numId w:val="5"/>
        </w:numPr>
        <w:spacing w:after="0"/>
        <w:rPr>
          <w:rFonts w:cs="Arial"/>
          <w:color w:val="auto"/>
          <w:szCs w:val="20"/>
        </w:rPr>
      </w:pPr>
      <w:r w:rsidRPr="006848CB">
        <w:rPr>
          <w:rFonts w:cs="Arial"/>
          <w:bCs/>
          <w:color w:val="auto"/>
          <w:szCs w:val="20"/>
        </w:rPr>
        <w:t>Učinkovito i održivo upravljanje prostornim i prirodnim resursima</w:t>
      </w:r>
    </w:p>
    <w:p w14:paraId="30E9FEFE" w14:textId="77777777" w:rsidR="007300A9" w:rsidRPr="006848CB" w:rsidRDefault="007300A9" w:rsidP="00CB295F">
      <w:pPr>
        <w:pStyle w:val="H2"/>
        <w:numPr>
          <w:ilvl w:val="1"/>
          <w:numId w:val="5"/>
        </w:numPr>
        <w:spacing w:after="0"/>
        <w:rPr>
          <w:rFonts w:cs="Arial"/>
          <w:color w:val="auto"/>
          <w:szCs w:val="20"/>
        </w:rPr>
      </w:pPr>
      <w:r w:rsidRPr="006848CB">
        <w:rPr>
          <w:rFonts w:cs="Arial"/>
          <w:bCs/>
          <w:color w:val="auto"/>
          <w:szCs w:val="20"/>
        </w:rPr>
        <w:t>Zelena tranzicija i digitalna transformacija</w:t>
      </w:r>
    </w:p>
    <w:p w14:paraId="1BE81A29" w14:textId="77777777" w:rsidR="007300A9" w:rsidRPr="006848CB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color w:val="auto"/>
          <w:szCs w:val="20"/>
          <w:lang w:eastAsia="hr-HR"/>
        </w:rPr>
      </w:pPr>
    </w:p>
    <w:p w14:paraId="3240601A" w14:textId="6CE60895" w:rsidR="007300A9" w:rsidRPr="006848CB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Sukladno Zakonu o proračunu, Ministarstvo financija sastavilo je i Upute za izradu proračuna jedinica lokalne i područne (regionalne) samouprave</w:t>
      </w:r>
      <w:r w:rsidR="00687D41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Upute</w:t>
      </w:r>
      <w:r w:rsidR="00687D4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sadrže temeljne ekonomske pokazatelje za razdoblje 2023. – 2025., metodologiju izrade proračuna jedinica lokalne i područne (regionalne) samouprave, planiranje i metodologiju izrade financijskih planova proračunskih korisnika te planiranje rashoda proračunskih korisnika u sklopu decentraliziranih funkcija.</w:t>
      </w:r>
    </w:p>
    <w:p w14:paraId="6AB38AAD" w14:textId="77777777" w:rsidR="007300A9" w:rsidRPr="006848CB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04DC08C3" w14:textId="77777777" w:rsidR="007300A9" w:rsidRPr="006848CB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S ciljem što realnijeg utvrđivanja visine prihoda i primitaka Proračuna Grada Zagreba, Gradski ured za financije i javnu nabavu je zatražio od gradskih ureda procjenu namjenskih i drugih prihoda za čiju su naplatu odgovorni u okviru svoje nadležnosti. Ostale prihode i primitke procijenio je Gradski ured za financije i javnu nabavu. Prihodi su procijenjeni na osnovi dosadašnjeg ostvarenja te procjene očekivane naplate u idućim godinama. </w:t>
      </w:r>
    </w:p>
    <w:p w14:paraId="0848C243" w14:textId="77777777" w:rsidR="007300A9" w:rsidRPr="006848CB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A513843" w14:textId="74725783" w:rsidR="007300A9" w:rsidRPr="006848CB" w:rsidRDefault="00687D41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Na temelju dostavljenih U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puta za izradu proračuna jedinica lokalne i područne</w:t>
      </w:r>
      <w:r w:rsidR="00D04FFC">
        <w:rPr>
          <w:rFonts w:ascii="Arial" w:eastAsia="Times New Roman" w:hAnsi="Arial" w:cs="Arial"/>
          <w:sz w:val="20"/>
          <w:szCs w:val="20"/>
          <w:lang w:eastAsia="hr-HR"/>
        </w:rPr>
        <w:t xml:space="preserve"> (regionalne)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samouprave, Gradski ured za financije i javnu nabavu je izradio i dostavio upute za planiranje proračuna Grada Zagreba svim gradskim uredima, zavodima i službama. Upute su sadržavale temeljna ekonomska ishodišta, procjenu prihoda i primitaka te rashoda i izdataka kao i okvirne prijedloge financijskog plana i metodologiju za izradu financijskih planova.</w:t>
      </w:r>
      <w:r w:rsidR="007300A9" w:rsidRPr="006848CB">
        <w:t xml:space="preserve"> </w:t>
      </w:r>
      <w:r w:rsidR="007300A9" w:rsidRPr="006848CB">
        <w:rPr>
          <w:rFonts w:ascii="Arial" w:hAnsi="Arial" w:cs="Arial"/>
          <w:sz w:val="20"/>
          <w:szCs w:val="20"/>
        </w:rPr>
        <w:t>Gradski ured za financije i javnu nabavu je kroz upute za izradu proračuna dao limite za svako gradsko upravno tijelo zasebno.</w:t>
      </w:r>
    </w:p>
    <w:p w14:paraId="48E85DD2" w14:textId="77777777" w:rsidR="007300A9" w:rsidRPr="006848CB" w:rsidRDefault="007300A9" w:rsidP="007300A9">
      <w:pPr>
        <w:pStyle w:val="H2"/>
        <w:numPr>
          <w:ilvl w:val="0"/>
          <w:numId w:val="0"/>
        </w:numPr>
        <w:spacing w:after="0"/>
        <w:ind w:left="567" w:hanging="567"/>
        <w:rPr>
          <w:rFonts w:cs="Arial"/>
          <w:color w:val="auto"/>
          <w:szCs w:val="20"/>
        </w:rPr>
      </w:pPr>
    </w:p>
    <w:p w14:paraId="15642852" w14:textId="77777777" w:rsidR="007300A9" w:rsidRPr="006848CB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color w:val="auto"/>
          <w:szCs w:val="20"/>
        </w:rPr>
      </w:pPr>
      <w:r w:rsidRPr="006848CB">
        <w:rPr>
          <w:rFonts w:cs="Arial"/>
          <w:color w:val="auto"/>
          <w:szCs w:val="20"/>
        </w:rPr>
        <w:t xml:space="preserve">Planiranju proračunskih rashoda i izdataka pristupilo se s povećanim oprezom, uvažavajući prioritete zasnovane na zakonskim i </w:t>
      </w:r>
      <w:proofErr w:type="spellStart"/>
      <w:r w:rsidRPr="006848CB">
        <w:rPr>
          <w:rFonts w:cs="Arial"/>
          <w:color w:val="auto"/>
          <w:szCs w:val="20"/>
        </w:rPr>
        <w:t>podzakonskim</w:t>
      </w:r>
      <w:proofErr w:type="spellEnd"/>
      <w:r w:rsidRPr="006848CB">
        <w:rPr>
          <w:rFonts w:cs="Arial"/>
          <w:color w:val="auto"/>
          <w:szCs w:val="20"/>
        </w:rPr>
        <w:t xml:space="preserve"> obvezama, odlukama Gradske skupštine Grada Zagreba te ranije sklopljenim ugovorima. </w:t>
      </w:r>
    </w:p>
    <w:p w14:paraId="3E6B7BE6" w14:textId="77777777" w:rsidR="007300A9" w:rsidRPr="006848CB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color w:val="auto"/>
          <w:szCs w:val="20"/>
          <w:lang w:eastAsia="hr-HR"/>
        </w:rPr>
      </w:pPr>
    </w:p>
    <w:p w14:paraId="22FDAEEF" w14:textId="77777777" w:rsidR="007300A9" w:rsidRPr="006848CB" w:rsidRDefault="007300A9" w:rsidP="007300A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hAnsi="Arial" w:cs="Arial"/>
          <w:sz w:val="20"/>
          <w:szCs w:val="20"/>
        </w:rPr>
        <w:lastRenderedPageBreak/>
        <w:t xml:space="preserve">U proces planiranja proračuna za razdoblje 2023.- 2025. uključeno je 340 proračunskih korisnika koji su dostavili prijedloge svojih financijskih planova nadležnim gradskim upravnim tijelima. Financijski planovi proračunskih korisnika osim proračunskih sredstava Grada uključuju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vlastite i namjenske prihode i primitke koje korisnici ostvaruju na svojim računima. Odlukom o izvršavanju proračuna Grada Zagreba za 2023. propisano je izuzeće od uplate namjenskih prihoda i primitaka te vlastitih prihoda proračunskih korisnika Grada Zagreba u proračun Grada Zagreba. </w:t>
      </w:r>
    </w:p>
    <w:p w14:paraId="792CCC94" w14:textId="77777777" w:rsidR="007300A9" w:rsidRPr="006848CB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U Registru proračunskih korisnika Grada Zagreba se nalaze sljedeći korisnici:</w:t>
      </w:r>
    </w:p>
    <w:p w14:paraId="46B14E17" w14:textId="7575828F" w:rsidR="007300A9" w:rsidRPr="006848CB" w:rsidRDefault="003D4C39" w:rsidP="00CB29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20 j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avnozdravstvenih ustanova: </w:t>
      </w:r>
      <w:hyperlink r:id="rId6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3 doma zdravlja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 7</w:t>
      </w:r>
      <w:hyperlink r:id="rId7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 xml:space="preserve"> poliklinika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8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6 specijalnih bolnica</w:t>
        </w:r>
      </w:hyperlink>
      <w:hyperlink r:id="rId9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, 1</w:t>
        </w:r>
        <w:r>
          <w:rPr>
            <w:rFonts w:ascii="Arial" w:eastAsia="Times New Roman" w:hAnsi="Arial" w:cs="Arial"/>
            <w:sz w:val="20"/>
            <w:szCs w:val="20"/>
            <w:lang w:eastAsia="hr-HR"/>
          </w:rPr>
          <w:t xml:space="preserve"> </w:t>
        </w:r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klinička bolnic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a, </w:t>
      </w:r>
      <w:hyperlink r:id="rId10" w:tgtFrame="_blank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1 zavod za javno zdravstvo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1" w:tgtFrame="_blank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1 nastavni zavod za hitnu medicinu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2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1 ustanova za zdravstvenu njegu u kući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1B0D99CE" w14:textId="42301F68" w:rsidR="007300A9" w:rsidRPr="006848CB" w:rsidRDefault="003D4C39" w:rsidP="00CB29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60 p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redškolskih ustanova,</w:t>
      </w:r>
    </w:p>
    <w:p w14:paraId="73D23851" w14:textId="4DC3823E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11</w:t>
      </w:r>
      <w:r w:rsidR="002C49B8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D4C39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snovnoškolskih ustanova: </w:t>
      </w:r>
      <w:hyperlink r:id="rId13" w:history="1">
        <w:r w:rsidRPr="006848CB">
          <w:rPr>
            <w:rFonts w:ascii="Arial" w:eastAsia="Times New Roman" w:hAnsi="Arial" w:cs="Arial"/>
            <w:sz w:val="20"/>
            <w:szCs w:val="20"/>
            <w:lang w:eastAsia="hr-HR"/>
          </w:rPr>
          <w:t>11</w:t>
        </w:r>
        <w:r w:rsidR="002C49B8">
          <w:rPr>
            <w:rFonts w:ascii="Arial" w:eastAsia="Times New Roman" w:hAnsi="Arial" w:cs="Arial"/>
            <w:sz w:val="20"/>
            <w:szCs w:val="20"/>
            <w:lang w:eastAsia="hr-HR"/>
          </w:rPr>
          <w:t>1</w:t>
        </w:r>
        <w:r w:rsidRPr="006848CB">
          <w:rPr>
            <w:rFonts w:ascii="Arial" w:eastAsia="Times New Roman" w:hAnsi="Arial" w:cs="Arial"/>
            <w:sz w:val="20"/>
            <w:szCs w:val="20"/>
            <w:lang w:eastAsia="hr-HR"/>
          </w:rPr>
          <w:t xml:space="preserve"> redovnih</w:t>
        </w:r>
      </w:hyperlink>
      <w:r w:rsidR="003D4C39">
        <w:rPr>
          <w:rFonts w:ascii="Arial" w:eastAsia="Times New Roman" w:hAnsi="Arial" w:cs="Arial"/>
          <w:sz w:val="20"/>
          <w:szCs w:val="20"/>
          <w:lang w:eastAsia="hr-HR"/>
        </w:rPr>
        <w:t xml:space="preserve"> škola,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2 umjetničke te </w:t>
      </w:r>
      <w:r w:rsidR="002C49B8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s posebnim uvjetima obrazovanja (</w:t>
      </w:r>
      <w:hyperlink r:id="rId14" w:history="1">
        <w:r w:rsidRPr="006848CB">
          <w:rPr>
            <w:rFonts w:ascii="Arial" w:eastAsia="Times New Roman" w:hAnsi="Arial" w:cs="Arial"/>
            <w:sz w:val="20"/>
            <w:szCs w:val="20"/>
            <w:lang w:eastAsia="hr-HR"/>
          </w:rPr>
          <w:t>Centar za odgoj i obrazovanje "Goljak"</w:t>
        </w:r>
      </w:hyperlink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5" w:history="1">
        <w:r w:rsidRPr="006848CB">
          <w:rPr>
            <w:rFonts w:ascii="Arial" w:eastAsia="Times New Roman" w:hAnsi="Arial" w:cs="Arial"/>
            <w:sz w:val="20"/>
            <w:szCs w:val="20"/>
            <w:lang w:eastAsia="hr-HR"/>
          </w:rPr>
          <w:t>Centar za autizam</w:t>
        </w:r>
      </w:hyperlink>
      <w:r w:rsidR="002C49B8">
        <w:rPr>
          <w:rFonts w:ascii="Arial" w:eastAsia="Times New Roman" w:hAnsi="Arial" w:cs="Arial"/>
          <w:sz w:val="20"/>
          <w:szCs w:val="20"/>
          <w:lang w:eastAsia="hr-HR"/>
        </w:rPr>
        <w:t xml:space="preserve"> i Osnovna škola Nad lipom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),</w:t>
      </w:r>
    </w:p>
    <w:p w14:paraId="62C77C60" w14:textId="323AEB25" w:rsidR="007300A9" w:rsidRPr="006848CB" w:rsidRDefault="003D4C39" w:rsidP="00CB29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66 s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rednjoškolskih ustanova (57 gimnazija i strukovnih škola,</w:t>
      </w:r>
      <w:r w:rsidR="007300A9" w:rsidRPr="006848CB">
        <w:t xml:space="preserve"> </w:t>
      </w:r>
      <w:hyperlink r:id="rId16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9 umjetničkih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škola) te </w:t>
      </w:r>
      <w:hyperlink r:id="rId17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10 učeničkih domova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19FB5FF2" w14:textId="3C1F2C8C" w:rsidR="007300A9" w:rsidRPr="006848CB" w:rsidRDefault="001A7F1A" w:rsidP="00CB29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hyperlink r:id="rId18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 xml:space="preserve">35 </w:t>
        </w:r>
      </w:hyperlink>
      <w:r w:rsidR="003D4C39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stanova u kulturi: 1 knjižnica</w:t>
      </w:r>
      <w:hyperlink r:id="rId19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, 11 centara za kulturu</w:t>
        </w:r>
      </w:hyperlink>
      <w:hyperlink r:id="rId20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, 3 glazbene ustanove</w:t>
        </w:r>
      </w:hyperlink>
      <w:hyperlink r:id="rId21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,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7 kazališta,</w:t>
      </w:r>
      <w:hyperlink r:id="rId22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 xml:space="preserve"> 1 likovna ustanov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a</w:t>
      </w:r>
      <w:hyperlink r:id="rId23" w:history="1">
        <w:r w:rsidR="003D4C39">
          <w:rPr>
            <w:rFonts w:ascii="Arial" w:eastAsia="Times New Roman" w:hAnsi="Arial" w:cs="Arial"/>
            <w:sz w:val="20"/>
            <w:szCs w:val="20"/>
            <w:lang w:eastAsia="hr-HR"/>
          </w:rPr>
          <w:t xml:space="preserve">, </w:t>
        </w:r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10 muzeja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 filmska ustanova i Pogon – Zagrebački centar za nezavisnu kulturu i mlade,</w:t>
      </w:r>
    </w:p>
    <w:p w14:paraId="5B9C7E0F" w14:textId="770D5E1B" w:rsidR="007300A9" w:rsidRPr="006848CB" w:rsidRDefault="003D4C39" w:rsidP="00CB29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16 u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stanova socijalne skrbi: </w:t>
      </w:r>
      <w:hyperlink r:id="rId24" w:history="1">
        <w:r>
          <w:rPr>
            <w:rFonts w:ascii="Arial" w:eastAsia="Times New Roman" w:hAnsi="Arial" w:cs="Arial"/>
            <w:sz w:val="20"/>
            <w:szCs w:val="20"/>
            <w:lang w:eastAsia="hr-HR"/>
          </w:rPr>
          <w:t>10 d</w:t>
        </w:r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omova za starije osobe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 Duga dom za djecu i odrasle-žrtve obiteljskog nasilja</w:t>
      </w:r>
      <w:hyperlink r:id="rId25" w:tgtFrame="_blank" w:history="1"/>
      <w:r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26" w:tgtFrame="_blank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Ustanova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Dobri dom Grada Zagreba, </w:t>
      </w:r>
      <w:hyperlink r:id="rId27" w:history="1"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>Mali dom – Zagreb</w:t>
        </w:r>
        <w:r>
          <w:rPr>
            <w:rFonts w:ascii="Arial" w:eastAsia="Times New Roman" w:hAnsi="Arial" w:cs="Arial"/>
            <w:sz w:val="20"/>
            <w:szCs w:val="20"/>
            <w:lang w:eastAsia="hr-HR"/>
          </w:rPr>
          <w:t xml:space="preserve"> - Dnevni centar</w:t>
        </w:r>
        <w:r w:rsidR="007300A9" w:rsidRPr="006848CB">
          <w:rPr>
            <w:rFonts w:ascii="Arial" w:eastAsia="Times New Roman" w:hAnsi="Arial" w:cs="Arial"/>
            <w:sz w:val="20"/>
            <w:szCs w:val="20"/>
            <w:lang w:eastAsia="hr-HR"/>
          </w:rPr>
          <w:t xml:space="preserve"> za rehabilitaciju djece i mladeži</w:t>
        </w:r>
      </w:hyperlink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 Centar za pružanje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usluga u zajednici S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avjetovalište Luka Ritz, Centar za rehabilitaciju </w:t>
      </w:r>
      <w:proofErr w:type="spellStart"/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Silver</w:t>
      </w:r>
      <w:proofErr w:type="spellEnd"/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Centar za pružanje usluga u zajednici Novi </w:t>
      </w:r>
      <w:proofErr w:type="spellStart"/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Jelkovec</w:t>
      </w:r>
      <w:proofErr w:type="spellEnd"/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1D9CF9AA" w14:textId="77777777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9 vijeća i Koordinacija vijeća i predstavnika nacionalnih manjina, </w:t>
      </w:r>
    </w:p>
    <w:p w14:paraId="2A22BE09" w14:textId="77777777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Javna vatrogasna postrojba Grada Zagreba, </w:t>
      </w:r>
    </w:p>
    <w:p w14:paraId="11E1197E" w14:textId="77777777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Zavod za prostorno uređenje Grada Zagreba,</w:t>
      </w:r>
    </w:p>
    <w:p w14:paraId="039BAF6C" w14:textId="77777777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Javna ustanova Maksimir,</w:t>
      </w:r>
    </w:p>
    <w:p w14:paraId="06A58201" w14:textId="77777777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Ustanova Zoološki vrt Grada Zagreba,</w:t>
      </w:r>
    </w:p>
    <w:p w14:paraId="16790395" w14:textId="0043D2B1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Upravljanje sportskim objektima,</w:t>
      </w:r>
    </w:p>
    <w:p w14:paraId="3B8B2CD7" w14:textId="791FB7E5" w:rsidR="007300A9" w:rsidRPr="006848CB" w:rsidRDefault="00267EA6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Ustanova za sveobuhvatnu skrb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Tigrovi</w:t>
      </w:r>
      <w:r w:rsidR="007300A9" w:rsidRPr="006848CB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65441968" w14:textId="77777777" w:rsidR="007300A9" w:rsidRPr="006848CB" w:rsidRDefault="007300A9" w:rsidP="00CB295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Razvojna agencija Zagreb za koordinaciju i poticanje regionalnog razvoja.</w:t>
      </w:r>
    </w:p>
    <w:p w14:paraId="008F9ACE" w14:textId="77777777" w:rsidR="007300A9" w:rsidRPr="006848CB" w:rsidRDefault="007300A9" w:rsidP="007300A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0327328" w14:textId="77777777" w:rsidR="007300A9" w:rsidRPr="006848CB" w:rsidRDefault="007300A9" w:rsidP="003D4C3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48CB">
        <w:rPr>
          <w:rFonts w:ascii="Arial" w:hAnsi="Arial" w:cs="Arial"/>
          <w:bCs/>
          <w:sz w:val="20"/>
          <w:szCs w:val="20"/>
        </w:rPr>
        <w:t>Osim prihoda koje proračunski korisnici Grada ostvaruju iz gradskog proračuna, vlastiti i namjenski prihodi (prihodi za posebne namjene) svih proračunskih korisnika Grada Zagreba koje planiraju ostvariti u razdoblju od 2023. - 2025. također se iskazuju u Proračunu Grada Zagreba za 2023. i projekcijama za 2024. - 2025., kao i rashodi koji će se financirati iz tih prihoda. Namjenski i vlastiti prihodi svih proračunskih korisnika dio su proračuna Grada, ali ne i novčanog tijeka. Korisnici i nadalje na svojim računima ostvaruju te prihode, sa svojih računa podmiruju obveze/rashode koji se iz njih financiraju te su obvezni izvještavati o njihovu korištenju.</w:t>
      </w:r>
    </w:p>
    <w:p w14:paraId="4A78805A" w14:textId="233DD361" w:rsidR="007300A9" w:rsidRDefault="007300A9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48CB">
        <w:rPr>
          <w:rFonts w:ascii="Arial" w:hAnsi="Arial" w:cs="Arial"/>
          <w:bCs/>
          <w:sz w:val="20"/>
          <w:szCs w:val="20"/>
        </w:rPr>
        <w:t>U plan proračuna uključena su sredstava za bruto plaće, doprinose i ostale rashode za zaposlenike osnovnih i srednjih škola kao i većine zdravstvenih ustanova, a koja se osiguravaju u Državnom proračunu. Na prihodnoj strani su ova sredstva iskazana na stavci Pomoći proračunskim korisnicima iz proračuna koji im nije nadležan te na stavci Prihodi od HZZO-a na temelju ugovornih obveza.</w:t>
      </w:r>
    </w:p>
    <w:p w14:paraId="15E2F972" w14:textId="3F884FA6" w:rsidR="00CC2911" w:rsidRDefault="00CC2911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B6466D9" w14:textId="78C9E65D" w:rsidR="00CC2911" w:rsidRPr="006848CB" w:rsidRDefault="00CC2911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Konsolidirani Proračun Grada Zagreba za 2023. je u konačnici utvrđen u visini od 2.207.794.800 eura od čega </w:t>
      </w:r>
      <w:r w:rsidRPr="00244D24">
        <w:rPr>
          <w:rFonts w:ascii="Arial" w:hAnsi="Arial" w:cs="Arial"/>
          <w:bCs/>
          <w:sz w:val="20"/>
          <w:szCs w:val="20"/>
        </w:rPr>
        <w:t xml:space="preserve">se na Grad u užem smislu odnosi </w:t>
      </w:r>
      <w:r w:rsidR="00902F6C" w:rsidRPr="00244D24">
        <w:rPr>
          <w:rFonts w:ascii="Arial" w:hAnsi="Arial" w:cs="Arial"/>
          <w:bCs/>
          <w:sz w:val="20"/>
          <w:szCs w:val="20"/>
        </w:rPr>
        <w:t xml:space="preserve">1.484.165.595 eura, a 723.629.205 eura na proračunske korisnike. </w:t>
      </w:r>
      <w:r w:rsidR="00EB7BC7" w:rsidRPr="00244D24">
        <w:rPr>
          <w:rFonts w:ascii="Arial" w:hAnsi="Arial" w:cs="Arial"/>
          <w:bCs/>
          <w:sz w:val="20"/>
          <w:szCs w:val="20"/>
        </w:rPr>
        <w:t xml:space="preserve">U odnosu na 2022. konsolidirani proračun raste za 5%. Na razini Grada u užem smislu proračun je gotovo na istoj razini kao i 2022. dok kod proračunskih korisnika bilježimo značajniji rast od 15% </w:t>
      </w:r>
      <w:r w:rsidR="006129C7" w:rsidRPr="00244D24">
        <w:rPr>
          <w:rFonts w:ascii="Arial" w:hAnsi="Arial" w:cs="Arial"/>
          <w:bCs/>
          <w:sz w:val="20"/>
          <w:szCs w:val="20"/>
        </w:rPr>
        <w:t>većim</w:t>
      </w:r>
      <w:r w:rsidR="00EB7BC7" w:rsidRPr="00244D24">
        <w:rPr>
          <w:rFonts w:ascii="Arial" w:hAnsi="Arial" w:cs="Arial"/>
          <w:bCs/>
          <w:sz w:val="20"/>
          <w:szCs w:val="20"/>
        </w:rPr>
        <w:t xml:space="preserve"> dijelom zbog povećanja plaća zaposlenih u javnom sektoru</w:t>
      </w:r>
      <w:r w:rsidR="006129C7" w:rsidRPr="00244D24">
        <w:rPr>
          <w:rFonts w:ascii="Arial" w:hAnsi="Arial" w:cs="Arial"/>
          <w:bCs/>
          <w:sz w:val="20"/>
          <w:szCs w:val="20"/>
        </w:rPr>
        <w:t>,</w:t>
      </w:r>
      <w:r w:rsidR="00EB7BC7" w:rsidRPr="00244D24">
        <w:rPr>
          <w:rFonts w:ascii="Arial" w:hAnsi="Arial" w:cs="Arial"/>
          <w:bCs/>
          <w:sz w:val="20"/>
          <w:szCs w:val="20"/>
        </w:rPr>
        <w:t xml:space="preserve"> prvenstveno zaposlenih u obrazovanju i zdravstvu.</w:t>
      </w:r>
    </w:p>
    <w:p w14:paraId="2024EACB" w14:textId="77777777" w:rsidR="007300A9" w:rsidRPr="00B15AAC" w:rsidRDefault="007300A9" w:rsidP="007300A9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B15AAC"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p w14:paraId="5B8050DD" w14:textId="4B27FA2F" w:rsidR="00CD7D59" w:rsidRPr="004F7380" w:rsidRDefault="00FD000B" w:rsidP="002C229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4A0BFF">
        <w:rPr>
          <w:rFonts w:ascii="Arial" w:eastAsia="Times New Roman" w:hAnsi="Arial" w:cs="Arial"/>
          <w:sz w:val="20"/>
          <w:szCs w:val="20"/>
          <w:lang w:eastAsia="hr-HR"/>
        </w:rPr>
        <w:lastRenderedPageBreak/>
        <w:t>Tabelarni</w:t>
      </w:r>
      <w:r w:rsidRPr="004F7380">
        <w:rPr>
          <w:rFonts w:ascii="Arial" w:eastAsia="Times New Roman" w:hAnsi="Arial" w:cs="Arial"/>
          <w:sz w:val="20"/>
          <w:szCs w:val="20"/>
          <w:lang w:eastAsia="hr-HR"/>
        </w:rPr>
        <w:t xml:space="preserve"> pregled Prijedloga proračuna Grada Zagreba za razdoblje 202</w:t>
      </w:r>
      <w:r w:rsidR="004F7380" w:rsidRPr="004F7380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4F73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80488F" w:rsidRPr="004F7380">
        <w:rPr>
          <w:rFonts w:ascii="Arial" w:eastAsia="Times New Roman" w:hAnsi="Arial" w:cs="Arial"/>
          <w:sz w:val="20"/>
          <w:szCs w:val="20"/>
          <w:lang w:eastAsia="hr-HR"/>
        </w:rPr>
        <w:t>- 202</w:t>
      </w:r>
      <w:r w:rsidR="004F7380" w:rsidRPr="004F7380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80488F" w:rsidRPr="004F73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4F7380">
        <w:rPr>
          <w:rFonts w:ascii="Arial" w:eastAsia="Times New Roman" w:hAnsi="Arial" w:cs="Arial"/>
          <w:sz w:val="20"/>
          <w:szCs w:val="20"/>
          <w:lang w:eastAsia="hr-HR"/>
        </w:rPr>
        <w:t xml:space="preserve"> s usporedbom </w:t>
      </w:r>
      <w:r w:rsidR="00EB4E6D" w:rsidRPr="004F7380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4F7380" w:rsidRPr="004F738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EB4E6D" w:rsidRPr="004F73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F7380" w:rsidRPr="004F7380">
        <w:rPr>
          <w:rFonts w:ascii="Arial" w:eastAsia="Times New Roman" w:hAnsi="Arial" w:cs="Arial"/>
          <w:sz w:val="20"/>
          <w:szCs w:val="20"/>
          <w:lang w:eastAsia="hr-HR"/>
        </w:rPr>
        <w:t xml:space="preserve"> te izvršenjem 2021.</w:t>
      </w:r>
      <w:r w:rsidR="00EB4E6D" w:rsidRPr="004F738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4F7380">
        <w:rPr>
          <w:rFonts w:ascii="Arial" w:eastAsia="Times New Roman" w:hAnsi="Arial" w:cs="Arial"/>
          <w:sz w:val="20"/>
          <w:szCs w:val="20"/>
          <w:lang w:eastAsia="hr-HR"/>
        </w:rPr>
        <w:t>daje se u nastavku</w:t>
      </w:r>
      <w:r w:rsidR="004F7380">
        <w:rPr>
          <w:rFonts w:ascii="Arial" w:eastAsia="Times New Roman" w:hAnsi="Arial" w:cs="Arial"/>
          <w:sz w:val="20"/>
          <w:szCs w:val="20"/>
          <w:lang w:eastAsia="hr-HR"/>
        </w:rPr>
        <w:t xml:space="preserve"> (prikazano u eurima i kunama)</w:t>
      </w:r>
      <w:r w:rsidRPr="004F7380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0352B646" w14:textId="20F6ED97" w:rsidR="004F7380" w:rsidRPr="00823B2B" w:rsidRDefault="004F7380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="00823B2B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  </w:t>
      </w:r>
      <w:r w:rsidRPr="00823B2B">
        <w:rPr>
          <w:rFonts w:ascii="Arial" w:eastAsia="Times New Roman" w:hAnsi="Arial" w:cs="Arial"/>
          <w:sz w:val="16"/>
          <w:szCs w:val="16"/>
          <w:lang w:eastAsia="hr-HR"/>
        </w:rPr>
        <w:t>EUR</w:t>
      </w:r>
    </w:p>
    <w:p w14:paraId="5A3ED812" w14:textId="77777777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4F7380">
        <w:rPr>
          <w:noProof/>
          <w:lang w:eastAsia="hr-HR"/>
        </w:rPr>
        <w:drawing>
          <wp:inline distT="0" distB="0" distL="0" distR="0" wp14:anchorId="63CEE8E3" wp14:editId="20A312D9">
            <wp:extent cx="6048375" cy="375266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88" cy="37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04D3" w14:textId="77777777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382A159" w14:textId="54A6D051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4F7380">
        <w:rPr>
          <w:noProof/>
          <w:lang w:eastAsia="hr-HR"/>
        </w:rPr>
        <w:drawing>
          <wp:inline distT="0" distB="0" distL="0" distR="0" wp14:anchorId="4C17FEAD" wp14:editId="427070F2">
            <wp:extent cx="6086475" cy="3905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89" cy="39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9C4C9" w14:textId="77777777" w:rsidR="00D300E1" w:rsidRDefault="00D300E1" w:rsidP="00902F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908950" w14:textId="1FBBFE7F" w:rsidR="00CD7D59" w:rsidRDefault="004F7380" w:rsidP="002C229F">
      <w:pPr>
        <w:spacing w:after="160" w:line="259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  <w:r w:rsidR="002C229F" w:rsidRPr="00823B2B">
        <w:rPr>
          <w:rFonts w:ascii="Arial" w:eastAsia="Times New Roman" w:hAnsi="Arial" w:cs="Arial"/>
          <w:sz w:val="16"/>
          <w:szCs w:val="16"/>
          <w:lang w:eastAsia="hr-HR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823B2B">
        <w:rPr>
          <w:rFonts w:ascii="Arial" w:eastAsia="Times New Roman" w:hAnsi="Arial" w:cs="Arial"/>
          <w:sz w:val="16"/>
          <w:szCs w:val="16"/>
          <w:lang w:eastAsia="hr-HR"/>
        </w:rPr>
        <w:tab/>
      </w:r>
      <w:r w:rsidR="00823B2B">
        <w:rPr>
          <w:rFonts w:ascii="Arial" w:eastAsia="Times New Roman" w:hAnsi="Arial" w:cs="Arial"/>
          <w:sz w:val="16"/>
          <w:szCs w:val="16"/>
          <w:lang w:eastAsia="hr-HR"/>
        </w:rPr>
        <w:tab/>
      </w:r>
      <w:r w:rsidR="00823B2B">
        <w:rPr>
          <w:rFonts w:ascii="Arial" w:eastAsia="Times New Roman" w:hAnsi="Arial" w:cs="Arial"/>
          <w:sz w:val="16"/>
          <w:szCs w:val="16"/>
          <w:lang w:eastAsia="hr-HR"/>
        </w:rPr>
        <w:tab/>
      </w:r>
      <w:r w:rsidRPr="00823B2B">
        <w:rPr>
          <w:rFonts w:ascii="Arial" w:eastAsia="Times New Roman" w:hAnsi="Arial" w:cs="Arial"/>
          <w:sz w:val="16"/>
          <w:szCs w:val="16"/>
          <w:lang w:eastAsia="hr-HR"/>
        </w:rPr>
        <w:t>KN</w:t>
      </w:r>
      <w:r w:rsidRPr="004F7380">
        <w:rPr>
          <w:noProof/>
          <w:lang w:eastAsia="hr-HR"/>
        </w:rPr>
        <w:drawing>
          <wp:inline distT="0" distB="0" distL="0" distR="0" wp14:anchorId="7D4129A5" wp14:editId="43FA976C">
            <wp:extent cx="5791200" cy="3809589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869" cy="382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49C4A" w14:textId="418430E8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4F7380">
        <w:rPr>
          <w:noProof/>
          <w:lang w:eastAsia="hr-HR"/>
        </w:rPr>
        <w:drawing>
          <wp:inline distT="0" distB="0" distL="0" distR="0" wp14:anchorId="7DECEB04" wp14:editId="22CCDB62">
            <wp:extent cx="5760622" cy="3924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161" cy="393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50788" w14:textId="75C20A71" w:rsidR="002C49B8" w:rsidRDefault="002C49B8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0178903" w14:textId="11F00A97" w:rsidR="00D300E1" w:rsidRDefault="00D300E1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0D2F5CF" w14:textId="782CCD74" w:rsidR="00D300E1" w:rsidRDefault="00D300E1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9D2D160" w14:textId="57B741FD" w:rsidR="00D300E1" w:rsidRDefault="00D300E1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C6B7941" w14:textId="77777777" w:rsidR="00D300E1" w:rsidRDefault="00D300E1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7C285DF" w14:textId="3E9E9FCE" w:rsidR="00D300E1" w:rsidRPr="00D300E1" w:rsidRDefault="00D300E1" w:rsidP="00D300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sz w:val="20"/>
          <w:szCs w:val="20"/>
          <w:lang w:eastAsia="hr-HR"/>
        </w:rPr>
        <w:lastRenderedPageBreak/>
        <w:t>Kroz prijedlog Proračuna za 2023. je vidljivo planiranje značajno povećanih kapitalnih ulaganja u odnosu na ranija razdoblja i to na način da se ista u što većem omjeru financiraju iz EU sredstava, a što manje iz izvora općih prihoda i primitaka Grada (poreznih prihoda).</w:t>
      </w:r>
      <w:r w:rsidR="004F503F" w:rsidRPr="001A7F1A">
        <w:rPr>
          <w:rFonts w:ascii="Arial" w:eastAsia="Times New Roman" w:hAnsi="Arial" w:cs="Arial"/>
          <w:sz w:val="20"/>
          <w:szCs w:val="20"/>
          <w:lang w:eastAsia="hr-HR"/>
        </w:rPr>
        <w:t xml:space="preserve"> Ukupno se za kapitalna ulaganja u 2023. planira</w:t>
      </w:r>
      <w:r w:rsidR="004F503F" w:rsidRPr="004F503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656D4">
        <w:rPr>
          <w:rFonts w:ascii="Arial" w:eastAsia="Times New Roman" w:hAnsi="Arial" w:cs="Arial"/>
          <w:sz w:val="20"/>
          <w:szCs w:val="20"/>
          <w:lang w:eastAsia="hr-HR"/>
        </w:rPr>
        <w:t xml:space="preserve">231,8 milijuna eura od čega se 102,3 milijuna eura planira realizirati kroz Program </w:t>
      </w:r>
      <w:r w:rsidR="001656D4" w:rsidRPr="001656D4">
        <w:rPr>
          <w:rFonts w:ascii="Arial" w:eastAsia="Times New Roman" w:hAnsi="Arial" w:cs="Arial"/>
          <w:sz w:val="20"/>
          <w:szCs w:val="20"/>
          <w:lang w:eastAsia="hr-HR"/>
        </w:rPr>
        <w:t>radova kapitalnih ulaganja u objekte za društvene djelatnosti i u obnovu objekata oštećenih potresom u Gradu Zagrebu</w:t>
      </w:r>
      <w:r w:rsidR="001656D4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153819BB" w14:textId="77777777" w:rsidR="00D300E1" w:rsidRPr="00D300E1" w:rsidRDefault="00D300E1" w:rsidP="00D300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sz w:val="20"/>
          <w:szCs w:val="20"/>
          <w:lang w:eastAsia="hr-HR"/>
        </w:rPr>
        <w:t>Republici Hrvatskoj u narednom razdoblju su na raspolaganju dodatna sredstva Europske unije i to s osnova instrumenta Mehanizma za oporavak i otpornost kojim se omogućuje državama članicama korištenje bespovratnih sredstava i zajmova za financiranje ulaganja i reformi kojima se ubrzava oporavak te povećava otpornost gospodarstava. Sredstva se odobravaju na temelju Nacionalnog plana oporavka i otpornosti 2021.-2026. (dalje u tekstu: NPOO) koji se priprema u okviru Nacionalnog programa reformi. Za gotovo sva ulaganja koja su već započela ili će tek dobiti mogućnost prijave i provedbe u okviru NPOO-a, prihvatljivi rashodi su već od 1. veljače 2020., a rok korištenja sredstava, odnosno rok u kojem se moraju završiti reforme i ulaganja je 30. kolovoza 2026. godine. Reforme i investicije koje ispunjavaju uvjete za financiranjem iz Mehanizma uključuju između ostalog i energetsku učinkovitost i obnovu zgrada (posebno u javne zgrade oštećene u potresu – zdravstvene infrastrukture i infrastrukture u području obrazovanja), te za Grad posebno važna, ulaganja u izgradnju, rekonstrukciju ili prenamjenu objekata za potrebe dječjih vrtića i osnovnih škola. Stoga Grad planira uložiti maksimalne napore u planiranju i pripremi planiranih investicija kako bi dobio mogućnost sufinancirati ista iz navedenog izvora.</w:t>
      </w:r>
    </w:p>
    <w:p w14:paraId="243FD5D4" w14:textId="27398B9A" w:rsidR="00D300E1" w:rsidRPr="00D300E1" w:rsidRDefault="00544320" w:rsidP="00D300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T</w:t>
      </w:r>
      <w:r w:rsidR="00D300E1" w:rsidRPr="00D300E1">
        <w:rPr>
          <w:rFonts w:ascii="Arial" w:eastAsia="Times New Roman" w:hAnsi="Arial" w:cs="Arial"/>
          <w:sz w:val="20"/>
          <w:szCs w:val="20"/>
          <w:lang w:eastAsia="hr-HR"/>
        </w:rPr>
        <w:t>akođer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D300E1" w:rsidRPr="00D300E1">
        <w:rPr>
          <w:rFonts w:ascii="Arial" w:eastAsia="Times New Roman" w:hAnsi="Arial" w:cs="Arial"/>
          <w:sz w:val="20"/>
          <w:szCs w:val="20"/>
          <w:lang w:eastAsia="hr-HR"/>
        </w:rPr>
        <w:t xml:space="preserve">intenzivno </w:t>
      </w:r>
      <w:r>
        <w:rPr>
          <w:rFonts w:ascii="Arial" w:eastAsia="Times New Roman" w:hAnsi="Arial" w:cs="Arial"/>
          <w:sz w:val="20"/>
          <w:szCs w:val="20"/>
          <w:lang w:eastAsia="hr-HR"/>
        </w:rPr>
        <w:t>se ulažu</w:t>
      </w:r>
      <w:r w:rsidR="00261186">
        <w:rPr>
          <w:rFonts w:ascii="Arial" w:eastAsia="Times New Roman" w:hAnsi="Arial" w:cs="Arial"/>
          <w:sz w:val="20"/>
          <w:szCs w:val="20"/>
          <w:lang w:eastAsia="hr-HR"/>
        </w:rPr>
        <w:t xml:space="preserve"> napori</w:t>
      </w:r>
      <w:r w:rsidR="00D300E1" w:rsidRPr="00D300E1">
        <w:rPr>
          <w:rFonts w:ascii="Arial" w:eastAsia="Times New Roman" w:hAnsi="Arial" w:cs="Arial"/>
          <w:sz w:val="20"/>
          <w:szCs w:val="20"/>
          <w:lang w:eastAsia="hr-HR"/>
        </w:rPr>
        <w:t xml:space="preserve"> kako bi se učinkovito iskoristila sredstva </w:t>
      </w:r>
      <w:r w:rsidR="00D300E1" w:rsidRPr="00544320">
        <w:rPr>
          <w:rFonts w:ascii="Arial" w:eastAsia="Times New Roman" w:hAnsi="Arial" w:cs="Arial"/>
          <w:sz w:val="20"/>
          <w:szCs w:val="20"/>
          <w:lang w:eastAsia="hr-HR"/>
        </w:rPr>
        <w:t>koja su Gradu Zagrebu na raspolaganju</w:t>
      </w:r>
      <w:r w:rsidRPr="00544320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  <w:r w:rsidR="00D300E1" w:rsidRPr="00D300E1">
        <w:rPr>
          <w:rFonts w:ascii="Arial" w:eastAsia="Times New Roman" w:hAnsi="Arial" w:cs="Arial"/>
          <w:sz w:val="20"/>
          <w:szCs w:val="20"/>
          <w:lang w:eastAsia="hr-HR"/>
        </w:rPr>
        <w:t>z Fonda solidarnosti Europske unije za saniranje posljedica potresa na infrastrukturi u području obrazovanja, zdravstva, prijevoza te kulturnoj baštini.</w:t>
      </w:r>
    </w:p>
    <w:p w14:paraId="3FFAF703" w14:textId="77777777" w:rsidR="00D300E1" w:rsidRPr="00D300E1" w:rsidRDefault="00D300E1" w:rsidP="00D300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471F0B3" w14:textId="36019CB9" w:rsidR="00AD37AD" w:rsidRPr="00D863BE" w:rsidRDefault="00AD37AD" w:rsidP="00167C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863BE">
        <w:rPr>
          <w:rFonts w:ascii="Arial" w:hAnsi="Arial" w:cs="Arial"/>
          <w:sz w:val="20"/>
          <w:szCs w:val="20"/>
          <w:lang w:eastAsia="hr-HR"/>
        </w:rPr>
        <w:t>Pored navedenog, kroz prijedlog ovog Proračuna je vidljiva namjera Grada u dijelu poboljšanja postojećeg standarda građana u raznim područjima djelovanja. Među najznačajnijim stavkama može se istaknuti:</w:t>
      </w:r>
    </w:p>
    <w:p w14:paraId="38E64165" w14:textId="6D3D7954" w:rsidR="00672BCC" w:rsidRPr="00D863BE" w:rsidRDefault="00672BCC" w:rsidP="00167CA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63BE">
        <w:rPr>
          <w:rFonts w:ascii="Arial" w:hAnsi="Arial" w:cs="Arial"/>
          <w:sz w:val="20"/>
          <w:szCs w:val="20"/>
        </w:rPr>
        <w:t xml:space="preserve">nastavak ulaganja u objekte predškolskog odgoja i obrazovanja odnosno izgradnja objekata za </w:t>
      </w:r>
      <w:r w:rsidR="00D863BE" w:rsidRPr="00D863BE">
        <w:rPr>
          <w:rFonts w:ascii="Arial" w:hAnsi="Arial" w:cs="Arial"/>
          <w:sz w:val="20"/>
          <w:szCs w:val="20"/>
        </w:rPr>
        <w:t xml:space="preserve">Dječjeg vrtića Sesvete – područni objekt </w:t>
      </w:r>
      <w:proofErr w:type="spellStart"/>
      <w:r w:rsidR="00D863BE" w:rsidRPr="00D863BE">
        <w:rPr>
          <w:rFonts w:ascii="Arial" w:hAnsi="Arial" w:cs="Arial"/>
          <w:sz w:val="20"/>
          <w:szCs w:val="20"/>
        </w:rPr>
        <w:t>Kašina</w:t>
      </w:r>
      <w:proofErr w:type="spellEnd"/>
      <w:r w:rsidR="00D863BE" w:rsidRPr="00D863BE">
        <w:rPr>
          <w:rFonts w:ascii="Arial" w:hAnsi="Arial" w:cs="Arial"/>
          <w:sz w:val="20"/>
          <w:szCs w:val="20"/>
        </w:rPr>
        <w:t xml:space="preserve">, Dječji vrtić Odranski </w:t>
      </w:r>
      <w:proofErr w:type="spellStart"/>
      <w:r w:rsidR="00D863BE" w:rsidRPr="00D863BE">
        <w:rPr>
          <w:rFonts w:ascii="Arial" w:hAnsi="Arial" w:cs="Arial"/>
          <w:sz w:val="20"/>
          <w:szCs w:val="20"/>
        </w:rPr>
        <w:t>Obrež</w:t>
      </w:r>
      <w:proofErr w:type="spellEnd"/>
      <w:r w:rsidR="00D863BE" w:rsidRPr="00D863BE">
        <w:rPr>
          <w:rFonts w:ascii="Arial" w:hAnsi="Arial" w:cs="Arial"/>
          <w:sz w:val="20"/>
          <w:szCs w:val="20"/>
        </w:rPr>
        <w:t xml:space="preserve">, </w:t>
      </w:r>
      <w:r w:rsidRPr="00D863BE">
        <w:rPr>
          <w:rFonts w:ascii="Arial" w:hAnsi="Arial" w:cs="Arial"/>
          <w:sz w:val="20"/>
          <w:szCs w:val="20"/>
        </w:rPr>
        <w:t xml:space="preserve">Dječji vrtić Ivanja Reka, Dječji vrtić Sesvetski </w:t>
      </w:r>
      <w:proofErr w:type="spellStart"/>
      <w:r w:rsidRPr="00D863BE">
        <w:rPr>
          <w:rFonts w:ascii="Arial" w:hAnsi="Arial" w:cs="Arial"/>
          <w:sz w:val="20"/>
          <w:szCs w:val="20"/>
        </w:rPr>
        <w:t>Kraljevec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 i Dječji vrtić Žitnjak te prenamjena sedam postojećih objekata za Dječji vrtić Jabuka-područni objekt </w:t>
      </w:r>
      <w:proofErr w:type="spellStart"/>
      <w:r w:rsidRPr="00D863BE">
        <w:rPr>
          <w:rFonts w:ascii="Arial" w:hAnsi="Arial" w:cs="Arial"/>
          <w:sz w:val="20"/>
          <w:szCs w:val="20"/>
        </w:rPr>
        <w:t>Trnava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, Dječji vrtić </w:t>
      </w:r>
      <w:proofErr w:type="spellStart"/>
      <w:r w:rsidRPr="00D863BE">
        <w:rPr>
          <w:rFonts w:ascii="Arial" w:hAnsi="Arial" w:cs="Arial"/>
          <w:sz w:val="20"/>
          <w:szCs w:val="20"/>
        </w:rPr>
        <w:t>En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 ten </w:t>
      </w:r>
      <w:proofErr w:type="spellStart"/>
      <w:r w:rsidRPr="00D863BE">
        <w:rPr>
          <w:rFonts w:ascii="Arial" w:hAnsi="Arial" w:cs="Arial"/>
          <w:sz w:val="20"/>
          <w:szCs w:val="20"/>
        </w:rPr>
        <w:t>tini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-područni objekt Sesvetska Sopnica, Dječji vrtić </w:t>
      </w:r>
      <w:proofErr w:type="spellStart"/>
      <w:r w:rsidRPr="00D863BE">
        <w:rPr>
          <w:rFonts w:ascii="Arial" w:hAnsi="Arial" w:cs="Arial"/>
          <w:sz w:val="20"/>
          <w:szCs w:val="20"/>
        </w:rPr>
        <w:t>En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 ten </w:t>
      </w:r>
      <w:proofErr w:type="spellStart"/>
      <w:r w:rsidRPr="00D863BE">
        <w:rPr>
          <w:rFonts w:ascii="Arial" w:hAnsi="Arial" w:cs="Arial"/>
          <w:sz w:val="20"/>
          <w:szCs w:val="20"/>
        </w:rPr>
        <w:t>tini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 – područni objekt Sesvetska </w:t>
      </w:r>
      <w:proofErr w:type="spellStart"/>
      <w:r w:rsidRPr="00D863BE">
        <w:rPr>
          <w:rFonts w:ascii="Arial" w:hAnsi="Arial" w:cs="Arial"/>
          <w:sz w:val="20"/>
          <w:szCs w:val="20"/>
        </w:rPr>
        <w:t>Selnica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, Dječji vrtić Medo Brundo – područni objekt Novi Retkovec, Dječji vrtić Poletarac – područni objekt Studentski grad, Dječji vrtić Sunce – područni objekt Novo </w:t>
      </w:r>
      <w:proofErr w:type="spellStart"/>
      <w:r w:rsidRPr="00D863BE">
        <w:rPr>
          <w:rFonts w:ascii="Arial" w:hAnsi="Arial" w:cs="Arial"/>
          <w:sz w:val="20"/>
          <w:szCs w:val="20"/>
        </w:rPr>
        <w:t>Brestje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 i Dječji vrtić Leptir – područni objekt Cerje,</w:t>
      </w:r>
    </w:p>
    <w:p w14:paraId="746780BA" w14:textId="6D684B3F" w:rsidR="00672BCC" w:rsidRPr="00D863BE" w:rsidRDefault="00672BCC" w:rsidP="00167CA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63BE">
        <w:rPr>
          <w:rFonts w:ascii="Arial" w:hAnsi="Arial" w:cs="Arial"/>
          <w:sz w:val="20"/>
          <w:szCs w:val="20"/>
        </w:rPr>
        <w:t xml:space="preserve">nastavak ulaganja na objektima osnovnoškolskog i srednjoškolskog obrazovanja (Osnovna škola Ante Kovačića, </w:t>
      </w:r>
      <w:r w:rsidR="00D863BE" w:rsidRPr="00D863BE">
        <w:rPr>
          <w:rFonts w:ascii="Arial" w:hAnsi="Arial" w:cs="Arial"/>
          <w:sz w:val="20"/>
          <w:szCs w:val="20"/>
        </w:rPr>
        <w:t xml:space="preserve">Osnovna škola </w:t>
      </w:r>
      <w:proofErr w:type="spellStart"/>
      <w:r w:rsidR="00D863BE" w:rsidRPr="00D863BE">
        <w:rPr>
          <w:rFonts w:ascii="Arial" w:hAnsi="Arial" w:cs="Arial"/>
          <w:sz w:val="20"/>
          <w:szCs w:val="20"/>
        </w:rPr>
        <w:t>Jakuševec</w:t>
      </w:r>
      <w:proofErr w:type="spellEnd"/>
      <w:r w:rsidR="00D863BE" w:rsidRPr="00D863BE">
        <w:rPr>
          <w:rFonts w:ascii="Arial" w:hAnsi="Arial" w:cs="Arial"/>
          <w:sz w:val="20"/>
          <w:szCs w:val="20"/>
        </w:rPr>
        <w:t xml:space="preserve">, Osnovna škola Lučko – područna škola </w:t>
      </w:r>
      <w:proofErr w:type="spellStart"/>
      <w:r w:rsidR="00D863BE" w:rsidRPr="00D863BE">
        <w:rPr>
          <w:rFonts w:ascii="Arial" w:hAnsi="Arial" w:cs="Arial"/>
          <w:sz w:val="20"/>
          <w:szCs w:val="20"/>
        </w:rPr>
        <w:t>Ježdovec</w:t>
      </w:r>
      <w:proofErr w:type="spellEnd"/>
      <w:r w:rsidR="00D863BE" w:rsidRPr="00D863BE">
        <w:rPr>
          <w:rFonts w:ascii="Arial" w:hAnsi="Arial" w:cs="Arial"/>
          <w:sz w:val="20"/>
          <w:szCs w:val="20"/>
        </w:rPr>
        <w:t xml:space="preserve"> i </w:t>
      </w:r>
      <w:r w:rsidRPr="00D863BE">
        <w:rPr>
          <w:rFonts w:ascii="Arial" w:hAnsi="Arial" w:cs="Arial"/>
          <w:sz w:val="20"/>
          <w:szCs w:val="20"/>
        </w:rPr>
        <w:t>Osnovna škola Brezovica – podr</w:t>
      </w:r>
      <w:r w:rsidR="00D863BE" w:rsidRPr="00D863BE">
        <w:rPr>
          <w:rFonts w:ascii="Arial" w:hAnsi="Arial" w:cs="Arial"/>
          <w:sz w:val="20"/>
          <w:szCs w:val="20"/>
        </w:rPr>
        <w:t xml:space="preserve">učna škola </w:t>
      </w:r>
      <w:proofErr w:type="spellStart"/>
      <w:r w:rsidR="00D863BE" w:rsidRPr="00D863BE">
        <w:rPr>
          <w:rFonts w:ascii="Arial" w:hAnsi="Arial" w:cs="Arial"/>
          <w:sz w:val="20"/>
          <w:szCs w:val="20"/>
        </w:rPr>
        <w:t>Kupinečki</w:t>
      </w:r>
      <w:proofErr w:type="spellEnd"/>
      <w:r w:rsidR="00D863BE" w:rsidRPr="00D863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BE" w:rsidRPr="00D863BE">
        <w:rPr>
          <w:rFonts w:ascii="Arial" w:hAnsi="Arial" w:cs="Arial"/>
          <w:sz w:val="20"/>
          <w:szCs w:val="20"/>
        </w:rPr>
        <w:t>Kraljevec</w:t>
      </w:r>
      <w:proofErr w:type="spellEnd"/>
      <w:r w:rsidR="00D863BE" w:rsidRPr="00D863BE">
        <w:rPr>
          <w:rFonts w:ascii="Arial" w:hAnsi="Arial" w:cs="Arial"/>
          <w:sz w:val="20"/>
          <w:szCs w:val="20"/>
        </w:rPr>
        <w:t xml:space="preserve"> </w:t>
      </w:r>
      <w:r w:rsidRPr="00D863BE">
        <w:rPr>
          <w:rFonts w:ascii="Arial" w:hAnsi="Arial" w:cs="Arial"/>
          <w:sz w:val="20"/>
          <w:szCs w:val="20"/>
        </w:rPr>
        <w:t xml:space="preserve">te Prva ekonomska škola, gimnazija </w:t>
      </w:r>
      <w:proofErr w:type="spellStart"/>
      <w:r w:rsidRPr="00D863BE">
        <w:rPr>
          <w:rFonts w:ascii="Arial" w:hAnsi="Arial" w:cs="Arial"/>
          <w:sz w:val="20"/>
          <w:szCs w:val="20"/>
        </w:rPr>
        <w:t>Tituša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 Brezovačkog, Gornjogradska gimnazija i Škola primijenjene umjetnosti i dizajna),</w:t>
      </w:r>
    </w:p>
    <w:p w14:paraId="7F88C614" w14:textId="6369D562" w:rsidR="00672BCC" w:rsidRPr="00D863BE" w:rsidRDefault="00672BCC" w:rsidP="00167CAB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863BE">
        <w:rPr>
          <w:rFonts w:ascii="Arial" w:hAnsi="Arial" w:cs="Arial"/>
          <w:sz w:val="20"/>
          <w:szCs w:val="20"/>
          <w:lang w:eastAsia="hr-HR"/>
        </w:rPr>
        <w:t xml:space="preserve">izgradnja Branimirove u Sesvetama od Zagrebačke do </w:t>
      </w:r>
      <w:proofErr w:type="spellStart"/>
      <w:r w:rsidRPr="00D863BE">
        <w:rPr>
          <w:rFonts w:ascii="Arial" w:hAnsi="Arial" w:cs="Arial"/>
          <w:sz w:val="20"/>
          <w:szCs w:val="20"/>
          <w:lang w:eastAsia="hr-HR"/>
        </w:rPr>
        <w:t>Brestovečke</w:t>
      </w:r>
      <w:proofErr w:type="spellEnd"/>
      <w:r w:rsidRPr="00D863BE">
        <w:rPr>
          <w:rFonts w:ascii="Arial" w:hAnsi="Arial" w:cs="Arial"/>
          <w:sz w:val="20"/>
          <w:szCs w:val="20"/>
          <w:lang w:eastAsia="hr-HR"/>
        </w:rPr>
        <w:t xml:space="preserve"> i tramvajske pruge od Zvonimirove do okretišta </w:t>
      </w:r>
      <w:proofErr w:type="spellStart"/>
      <w:r w:rsidRPr="00D863BE">
        <w:rPr>
          <w:rFonts w:ascii="Arial" w:hAnsi="Arial" w:cs="Arial"/>
          <w:sz w:val="20"/>
          <w:szCs w:val="20"/>
          <w:lang w:eastAsia="hr-HR"/>
        </w:rPr>
        <w:t>Savišće</w:t>
      </w:r>
      <w:proofErr w:type="spellEnd"/>
      <w:r w:rsidRPr="00D863BE">
        <w:rPr>
          <w:rFonts w:ascii="Arial" w:hAnsi="Arial" w:cs="Arial"/>
          <w:sz w:val="20"/>
          <w:szCs w:val="20"/>
          <w:lang w:eastAsia="hr-HR"/>
        </w:rPr>
        <w:t>, rekonstrukcija dijela Sarajevske ulice od Avenije Dubrovnik do Ranžirnog kolodvora</w:t>
      </w:r>
      <w:r w:rsidR="00D863BE" w:rsidRPr="00D863BE">
        <w:rPr>
          <w:rFonts w:ascii="Arial" w:hAnsi="Arial" w:cs="Arial"/>
          <w:sz w:val="20"/>
          <w:szCs w:val="20"/>
          <w:lang w:eastAsia="hr-HR"/>
        </w:rPr>
        <w:t>, ceste oko jezera Jarun i Sljemenske ceste</w:t>
      </w:r>
      <w:r w:rsidRPr="00D863BE">
        <w:rPr>
          <w:rFonts w:ascii="Arial" w:hAnsi="Arial" w:cs="Arial"/>
          <w:sz w:val="20"/>
          <w:szCs w:val="20"/>
          <w:lang w:eastAsia="hr-HR"/>
        </w:rPr>
        <w:t xml:space="preserve"> kao i izvanredno održavanje Jadranskog mosta, Mosta slobode, vijadukta Sava – Odra i protupotresno ojačanje konstrukcije Domovinskog mosta,</w:t>
      </w:r>
    </w:p>
    <w:p w14:paraId="0A8487DB" w14:textId="0F8849A9" w:rsidR="00167CAB" w:rsidRPr="00D863BE" w:rsidRDefault="00672BCC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63BE">
        <w:rPr>
          <w:rFonts w:ascii="Arial" w:hAnsi="Arial" w:cs="Arial"/>
          <w:sz w:val="20"/>
          <w:szCs w:val="20"/>
        </w:rPr>
        <w:t xml:space="preserve">infrastrukturni projekti u području gospodarenja otpadom kao što su Postrojenje za obradu </w:t>
      </w:r>
      <w:proofErr w:type="spellStart"/>
      <w:r w:rsidRPr="00D863BE">
        <w:rPr>
          <w:rFonts w:ascii="Arial" w:hAnsi="Arial" w:cs="Arial"/>
          <w:sz w:val="20"/>
          <w:szCs w:val="20"/>
        </w:rPr>
        <w:t>biootpada</w:t>
      </w:r>
      <w:proofErr w:type="spellEnd"/>
      <w:r w:rsidRPr="00D863BE">
        <w:rPr>
          <w:rFonts w:ascii="Arial" w:hAnsi="Arial" w:cs="Arial"/>
          <w:sz w:val="20"/>
          <w:szCs w:val="20"/>
        </w:rPr>
        <w:t xml:space="preserve"> s pretovarnom stanicom</w:t>
      </w:r>
      <w:r w:rsidR="00167CAB" w:rsidRPr="00D863BE">
        <w:rPr>
          <w:rFonts w:ascii="Arial" w:hAnsi="Arial" w:cs="Arial"/>
          <w:sz w:val="20"/>
          <w:szCs w:val="20"/>
        </w:rPr>
        <w:t>,</w:t>
      </w:r>
      <w:r w:rsidRPr="00D863BE">
        <w:rPr>
          <w:rFonts w:ascii="Arial" w:hAnsi="Arial" w:cs="Arial"/>
          <w:sz w:val="20"/>
          <w:szCs w:val="20"/>
        </w:rPr>
        <w:t xml:space="preserve"> Centar za ponovnu uporabu </w:t>
      </w:r>
      <w:r w:rsidR="001E0B45" w:rsidRPr="00D863BE">
        <w:rPr>
          <w:rFonts w:ascii="Arial" w:hAnsi="Arial" w:cs="Arial"/>
          <w:sz w:val="20"/>
          <w:szCs w:val="20"/>
        </w:rPr>
        <w:t>–</w:t>
      </w:r>
      <w:r w:rsidRPr="00D863BE">
        <w:rPr>
          <w:rFonts w:ascii="Arial" w:hAnsi="Arial" w:cs="Arial"/>
          <w:sz w:val="20"/>
          <w:szCs w:val="20"/>
        </w:rPr>
        <w:t xml:space="preserve"> CPU</w:t>
      </w:r>
      <w:r w:rsidR="00167CAB" w:rsidRPr="00D863BE">
        <w:rPr>
          <w:rFonts w:ascii="Arial" w:hAnsi="Arial" w:cs="Arial"/>
          <w:sz w:val="20"/>
          <w:szCs w:val="20"/>
        </w:rPr>
        <w:t xml:space="preserve"> te ugradnja podzemnih spremnika za odlaganje otpada u </w:t>
      </w:r>
      <w:r w:rsidR="00947F29" w:rsidRPr="00D863BE">
        <w:rPr>
          <w:rFonts w:ascii="Arial" w:hAnsi="Arial" w:cs="Arial"/>
          <w:sz w:val="20"/>
          <w:szCs w:val="20"/>
        </w:rPr>
        <w:t>centru grada</w:t>
      </w:r>
      <w:r w:rsidR="00167CAB" w:rsidRPr="00D863BE">
        <w:rPr>
          <w:rFonts w:ascii="Arial" w:hAnsi="Arial" w:cs="Arial"/>
          <w:sz w:val="20"/>
          <w:szCs w:val="20"/>
        </w:rPr>
        <w:t>,</w:t>
      </w:r>
    </w:p>
    <w:p w14:paraId="2369B480" w14:textId="03F33958" w:rsidR="00AD37AD" w:rsidRPr="00D863BE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63BE">
        <w:rPr>
          <w:rFonts w:ascii="Arial" w:hAnsi="Arial" w:cs="Arial"/>
          <w:sz w:val="20"/>
          <w:szCs w:val="20"/>
        </w:rPr>
        <w:t>solarizacija ustanova Grada Zagreba i izgradnja sunčanih elektrana na objektima Grada Zagreba i Zagrebačkog holdinga d.o.o. u okviru projekta SOLIZAG</w:t>
      </w:r>
      <w:r w:rsidR="00D863BE" w:rsidRPr="00D863BE">
        <w:rPr>
          <w:rFonts w:ascii="Arial" w:hAnsi="Arial" w:cs="Arial"/>
          <w:sz w:val="20"/>
          <w:szCs w:val="20"/>
        </w:rPr>
        <w:t xml:space="preserve"> i programa Sunčani krovovi</w:t>
      </w:r>
      <w:r w:rsidRPr="00D863BE">
        <w:rPr>
          <w:rFonts w:ascii="Arial" w:hAnsi="Arial" w:cs="Arial"/>
          <w:sz w:val="20"/>
          <w:szCs w:val="20"/>
        </w:rPr>
        <w:t>,</w:t>
      </w:r>
    </w:p>
    <w:p w14:paraId="293E5F9A" w14:textId="77777777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 xml:space="preserve">državna biciklistička ruta broj 2. </w:t>
      </w:r>
      <w:proofErr w:type="spellStart"/>
      <w:r w:rsidRPr="00EB7BC7">
        <w:rPr>
          <w:rFonts w:ascii="Arial" w:hAnsi="Arial" w:cs="Arial"/>
          <w:sz w:val="20"/>
          <w:szCs w:val="20"/>
        </w:rPr>
        <w:t>Greenway</w:t>
      </w:r>
      <w:proofErr w:type="spellEnd"/>
      <w:r w:rsidRPr="00EB7BC7">
        <w:rPr>
          <w:rFonts w:ascii="Arial" w:hAnsi="Arial" w:cs="Arial"/>
          <w:sz w:val="20"/>
          <w:szCs w:val="20"/>
        </w:rPr>
        <w:t xml:space="preserve"> i biciklistička magistrala – Zagreb istok,</w:t>
      </w:r>
    </w:p>
    <w:p w14:paraId="1AFA86C6" w14:textId="4E1FE13B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 xml:space="preserve">nastavak projekta Pomoćnici u nastavi/stručni komunikacijski posrednici kao </w:t>
      </w:r>
      <w:r w:rsidR="00947F29" w:rsidRPr="00EB7BC7">
        <w:rPr>
          <w:rFonts w:ascii="Arial" w:hAnsi="Arial" w:cs="Arial"/>
          <w:sz w:val="20"/>
          <w:szCs w:val="20"/>
        </w:rPr>
        <w:t xml:space="preserve">potpora </w:t>
      </w:r>
      <w:proofErr w:type="spellStart"/>
      <w:r w:rsidR="00947F29" w:rsidRPr="00EB7BC7">
        <w:rPr>
          <w:rFonts w:ascii="Arial" w:hAnsi="Arial" w:cs="Arial"/>
          <w:sz w:val="20"/>
          <w:szCs w:val="20"/>
        </w:rPr>
        <w:t>inkluzivnom</w:t>
      </w:r>
      <w:proofErr w:type="spellEnd"/>
      <w:r w:rsidR="00947F29" w:rsidRPr="00EB7BC7">
        <w:rPr>
          <w:rFonts w:ascii="Arial" w:hAnsi="Arial" w:cs="Arial"/>
          <w:sz w:val="20"/>
          <w:szCs w:val="20"/>
        </w:rPr>
        <w:t xml:space="preserve"> obrazovanju i uvođenje novih projekata za darovitu djecu i djecu s teškoćama u razvoju te za deficitarna zanimanja, </w:t>
      </w:r>
    </w:p>
    <w:p w14:paraId="09EFB775" w14:textId="4AC97CCA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>početak radova na rekonstrukciji Doma sportova,</w:t>
      </w:r>
    </w:p>
    <w:p w14:paraId="4C5DB27C" w14:textId="77777777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 xml:space="preserve">rekonstrukcija i izgradnja nove suvremene tržnice na mjestu postojeće tržnice Vrapče, </w:t>
      </w:r>
    </w:p>
    <w:p w14:paraId="34DB7AC0" w14:textId="0020A2DD" w:rsidR="00672BCC" w:rsidRPr="00EB7BC7" w:rsidRDefault="00672BCC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EB7BC7">
        <w:rPr>
          <w:rFonts w:ascii="Arial" w:hAnsi="Arial" w:cs="Arial"/>
          <w:sz w:val="20"/>
          <w:szCs w:val="20"/>
        </w:rPr>
        <w:t>organizacija vatrogasne službe na području gradske četvrti Sesvete kao stalnog vatrogasnog dežurstva od 0 do 24 sata s</w:t>
      </w:r>
      <w:bookmarkStart w:id="3" w:name="_GoBack"/>
      <w:bookmarkEnd w:id="3"/>
      <w:r w:rsidRPr="00EB7BC7">
        <w:rPr>
          <w:rFonts w:ascii="Arial" w:hAnsi="Arial" w:cs="Arial"/>
          <w:sz w:val="20"/>
          <w:szCs w:val="20"/>
        </w:rPr>
        <w:t xml:space="preserve"> profesionalnom vatrogasnom jezgrom od šesnaest zaposlenih te zapošljavanja 30 vatrogasaca u Javnoj vatrogasnoj postrojbi,</w:t>
      </w:r>
    </w:p>
    <w:p w14:paraId="0F44B583" w14:textId="77777777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 xml:space="preserve">novi javnozdravstveni projekti kao što su dnevna bolnica za poremećaje prehrane, pilot program za kompleksne pacijente, </w:t>
      </w:r>
      <w:proofErr w:type="spellStart"/>
      <w:r w:rsidRPr="00EB7BC7">
        <w:rPr>
          <w:rFonts w:ascii="Arial" w:hAnsi="Arial" w:cs="Arial"/>
          <w:sz w:val="20"/>
          <w:szCs w:val="20"/>
        </w:rPr>
        <w:t>dijabetološko</w:t>
      </w:r>
      <w:proofErr w:type="spellEnd"/>
      <w:r w:rsidRPr="00EB7BC7">
        <w:rPr>
          <w:rFonts w:ascii="Arial" w:hAnsi="Arial" w:cs="Arial"/>
          <w:sz w:val="20"/>
          <w:szCs w:val="20"/>
        </w:rPr>
        <w:t xml:space="preserve"> savjetovalište i projekt edukacija laika za provođenje postupka oživljavanja uz upotrebu AVD-a te završetak radova na izgradnji Zavoda za kliničku mikrobiologiju i hospitalne infekcije Kliničke bolnice Sveti Duh, zgrade </w:t>
      </w:r>
      <w:proofErr w:type="spellStart"/>
      <w:r w:rsidRPr="00EB7BC7">
        <w:rPr>
          <w:rFonts w:ascii="Arial" w:hAnsi="Arial" w:cs="Arial"/>
          <w:sz w:val="20"/>
          <w:szCs w:val="20"/>
        </w:rPr>
        <w:t>psihogerijatrije</w:t>
      </w:r>
      <w:proofErr w:type="spellEnd"/>
      <w:r w:rsidRPr="00EB7BC7">
        <w:rPr>
          <w:rFonts w:ascii="Arial" w:hAnsi="Arial" w:cs="Arial"/>
          <w:sz w:val="20"/>
          <w:szCs w:val="20"/>
        </w:rPr>
        <w:t xml:space="preserve"> Klinike za </w:t>
      </w:r>
      <w:r w:rsidRPr="00EB7BC7">
        <w:rPr>
          <w:rFonts w:ascii="Arial" w:hAnsi="Arial" w:cs="Arial"/>
          <w:sz w:val="20"/>
          <w:szCs w:val="20"/>
        </w:rPr>
        <w:lastRenderedPageBreak/>
        <w:t>psihijatriju Vrapče i ambulante Gračani i cjelovite obnove zgrade Specijalne bolnice za plućne bolesti i Psihijatrijske bolnice za djecu i mladež,</w:t>
      </w:r>
    </w:p>
    <w:p w14:paraId="04A3347B" w14:textId="67C0D5DF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 xml:space="preserve">povećanje smještajnih kapaciteta za skrb o osobama starije životne dobi </w:t>
      </w:r>
      <w:r w:rsidR="00672BCC" w:rsidRPr="00EB7BC7">
        <w:rPr>
          <w:rFonts w:ascii="Arial" w:hAnsi="Arial" w:cs="Arial"/>
          <w:sz w:val="20"/>
          <w:szCs w:val="20"/>
        </w:rPr>
        <w:t xml:space="preserve">financiranjem </w:t>
      </w:r>
      <w:r w:rsidRPr="00EB7BC7">
        <w:rPr>
          <w:rFonts w:ascii="Arial" w:hAnsi="Arial" w:cs="Arial"/>
          <w:sz w:val="20"/>
          <w:szCs w:val="20"/>
        </w:rPr>
        <w:t>novo izgrađenog d</w:t>
      </w:r>
      <w:r w:rsidR="00672BCC" w:rsidRPr="00EB7BC7">
        <w:rPr>
          <w:rFonts w:ascii="Arial" w:hAnsi="Arial" w:cs="Arial"/>
          <w:sz w:val="20"/>
          <w:szCs w:val="20"/>
        </w:rPr>
        <w:t>oma za starije osobe Markuševec</w:t>
      </w:r>
      <w:r w:rsidRPr="00EB7BC7">
        <w:rPr>
          <w:rFonts w:ascii="Arial" w:hAnsi="Arial" w:cs="Arial"/>
          <w:sz w:val="20"/>
          <w:szCs w:val="20"/>
        </w:rPr>
        <w:t>,</w:t>
      </w:r>
    </w:p>
    <w:p w14:paraId="042100FE" w14:textId="4122796A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 xml:space="preserve">uvođenje kompenzacijskih mjera i potpora za samozapošljavanje roditelja odgojitelja, </w:t>
      </w:r>
    </w:p>
    <w:p w14:paraId="6298B145" w14:textId="0BC4199E" w:rsidR="00167CAB" w:rsidRPr="00EB7BC7" w:rsidRDefault="00167CAB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>osiguranje dodatnih sredstava za provedbu novih prava iz izmjene Odluke o socijalnoj skrbi,</w:t>
      </w:r>
    </w:p>
    <w:p w14:paraId="012FCD7E" w14:textId="77777777" w:rsidR="00AD37AD" w:rsidRPr="00EB7BC7" w:rsidRDefault="00AD37AD" w:rsidP="00167CAB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7BC7">
        <w:rPr>
          <w:rFonts w:ascii="Arial" w:hAnsi="Arial" w:cs="Arial"/>
          <w:sz w:val="20"/>
          <w:szCs w:val="20"/>
        </w:rPr>
        <w:t>uvođenje posebnog programa Kultura i umjetnost u zajednici kojim bi se povećala dostupnost kulturnih i umjetničkih sadržaja u gradskim četvrtima te angažirale lokalne zajednice i civilna društva na poticanju i sudjelovanju u kulturnom životu Grada kao i rekonstrukcija kina Kalnik.</w:t>
      </w:r>
    </w:p>
    <w:p w14:paraId="49894689" w14:textId="3263CBF0" w:rsidR="002C49B8" w:rsidRPr="00EB7BC7" w:rsidRDefault="002C49B8" w:rsidP="00167CAB">
      <w:pPr>
        <w:spacing w:after="160" w:line="259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938BAE" w14:textId="6C6275B7" w:rsidR="002C49B8" w:rsidRPr="00EB7BC7" w:rsidRDefault="002C49B8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B9A00E" w14:textId="77777777" w:rsidR="002C49B8" w:rsidRPr="00F11EFC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573D814" w14:textId="443C1891" w:rsidR="00EE5044" w:rsidRDefault="00EE5044" w:rsidP="002C49B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0874AA4" w14:textId="3E5DA102" w:rsidR="00AD37AD" w:rsidRDefault="00AD37AD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br w:type="page"/>
      </w:r>
    </w:p>
    <w:p w14:paraId="6A7ED0F4" w14:textId="68B5925E" w:rsidR="00EE5044" w:rsidRPr="00F11EFC" w:rsidRDefault="00EE5044" w:rsidP="002C49B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11EFC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PRIHODI I PRIMICI</w:t>
      </w:r>
    </w:p>
    <w:p w14:paraId="437C3DFB" w14:textId="77777777" w:rsidR="00EE5044" w:rsidRPr="00EE5044" w:rsidRDefault="00EE5044" w:rsidP="002C49B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0DD36AD" w14:textId="10628C2B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Plan prihoda Grada Zagreba za razdoblje 2023. – 2025. zasniva se na važećim zakonskim propisima koji reguliraju pripadnost prihoda za financiranje javnih potreba iz nadležnosti lokalne i regionalne samouprave te sadrži plan po ekonomskoj klasifikaciji i izvorima financiranja.</w:t>
      </w:r>
    </w:p>
    <w:p w14:paraId="01876B6F" w14:textId="77777777" w:rsidR="002C49B8" w:rsidRPr="00D300E1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33139F8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Prihodi i primici Proračuna Grada Zagreba za 2023. planiraju se u iznosu </w:t>
      </w:r>
      <w:r w:rsidRPr="00D300E1">
        <w:rPr>
          <w:rFonts w:ascii="Arial" w:eastAsia="Times New Roman" w:hAnsi="Arial" w:cs="Arial"/>
          <w:sz w:val="20"/>
          <w:szCs w:val="20"/>
          <w:lang w:eastAsia="hr-HR"/>
        </w:rPr>
        <w:t xml:space="preserve">od 2.207.794.800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D300E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od čega se </w:t>
      </w:r>
      <w:r w:rsidRPr="00D300E1">
        <w:rPr>
          <w:rFonts w:ascii="Arial" w:eastAsia="Times New Roman" w:hAnsi="Arial" w:cs="Arial"/>
          <w:sz w:val="20"/>
          <w:szCs w:val="20"/>
          <w:lang w:eastAsia="hr-HR"/>
        </w:rPr>
        <w:t xml:space="preserve">1.484.165.595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eura odnosi na prihode i primitke proračuna Grada dok se </w:t>
      </w:r>
      <w:r w:rsidRPr="00D300E1">
        <w:rPr>
          <w:rFonts w:ascii="Arial" w:eastAsia="Times New Roman" w:hAnsi="Arial" w:cs="Arial"/>
          <w:sz w:val="20"/>
          <w:szCs w:val="20"/>
          <w:lang w:eastAsia="hr-HR"/>
        </w:rPr>
        <w:t xml:space="preserve">723.629.205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eura odnosi na vlastite i namjenske prihode i primitke proračunskih korisnika uključujući višak iz prethodnog razdoblja koji nisu dio novčanog tijeka proračuna. </w:t>
      </w:r>
    </w:p>
    <w:p w14:paraId="0A5FF0C1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8E129DF" w14:textId="77777777" w:rsidR="00823B2B" w:rsidRDefault="002C49B8" w:rsidP="00823B2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>PRIHODI / P</w:t>
      </w:r>
      <w:r w:rsidR="00823B2B">
        <w:rPr>
          <w:rFonts w:ascii="Arial" w:eastAsia="Times New Roman" w:hAnsi="Arial" w:cs="Arial"/>
          <w:b/>
          <w:sz w:val="20"/>
          <w:szCs w:val="20"/>
          <w:lang w:eastAsia="hr-HR"/>
        </w:rPr>
        <w:t>RIMICI / VIŠAK PRIHODA – UKUPNO</w:t>
      </w:r>
    </w:p>
    <w:p w14:paraId="653A2B85" w14:textId="21103DB5" w:rsidR="00823B2B" w:rsidRPr="00823B2B" w:rsidRDefault="00823B2B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823B2B">
        <w:rPr>
          <w:rFonts w:ascii="Arial" w:eastAsia="Times New Roman" w:hAnsi="Arial" w:cs="Arial"/>
          <w:sz w:val="16"/>
          <w:szCs w:val="16"/>
          <w:lang w:eastAsia="hr-HR"/>
        </w:rPr>
        <w:t>EUR</w:t>
      </w:r>
    </w:p>
    <w:p w14:paraId="29A7A471" w14:textId="18BA4D4A" w:rsidR="00823B2B" w:rsidRPr="00B15AAC" w:rsidRDefault="00823B2B" w:rsidP="002C49B8">
      <w:pPr>
        <w:spacing w:after="0" w:line="240" w:lineRule="auto"/>
        <w:jc w:val="center"/>
        <w:rPr>
          <w:color w:val="FF0000"/>
        </w:rPr>
      </w:pPr>
      <w:r w:rsidRPr="00823B2B">
        <w:rPr>
          <w:noProof/>
          <w:lang w:eastAsia="hr-HR"/>
        </w:rPr>
        <w:drawing>
          <wp:inline distT="0" distB="0" distL="0" distR="0" wp14:anchorId="25AE2057" wp14:editId="7D5673ED">
            <wp:extent cx="5925185" cy="662446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266" cy="664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5A5C" w14:textId="16F8FAAD" w:rsidR="002C49B8" w:rsidRPr="00B15AAC" w:rsidRDefault="002C49B8" w:rsidP="002C49B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val="en-US"/>
        </w:rPr>
      </w:pPr>
    </w:p>
    <w:p w14:paraId="23C14262" w14:textId="77777777" w:rsidR="002C49B8" w:rsidRPr="00B15AAC" w:rsidRDefault="002C49B8" w:rsidP="002C49B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val="en-US"/>
        </w:rPr>
      </w:pPr>
    </w:p>
    <w:p w14:paraId="10517C31" w14:textId="77777777" w:rsidR="009F2142" w:rsidRDefault="009F2142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6C8D702" w14:textId="77777777" w:rsidR="00D763AF" w:rsidRDefault="00D763AF">
      <w:pPr>
        <w:spacing w:after="160" w:line="259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br w:type="page"/>
      </w:r>
    </w:p>
    <w:p w14:paraId="1E86FC77" w14:textId="19E30F26" w:rsidR="00823B2B" w:rsidRPr="00B15AAC" w:rsidRDefault="00823B2B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val="en-US"/>
        </w:rPr>
      </w:pPr>
      <w:r w:rsidRPr="00823B2B">
        <w:rPr>
          <w:rFonts w:ascii="Arial" w:eastAsia="Times New Roman" w:hAnsi="Arial" w:cs="Arial"/>
          <w:sz w:val="16"/>
          <w:szCs w:val="16"/>
          <w:lang w:eastAsia="hr-HR"/>
        </w:rPr>
        <w:lastRenderedPageBreak/>
        <w:t>EUR</w:t>
      </w:r>
    </w:p>
    <w:p w14:paraId="033FB909" w14:textId="6BBF6581" w:rsidR="002C49B8" w:rsidRDefault="00823B2B" w:rsidP="00823B2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823B2B">
        <w:rPr>
          <w:noProof/>
          <w:lang w:eastAsia="hr-HR"/>
        </w:rPr>
        <w:drawing>
          <wp:inline distT="0" distB="0" distL="0" distR="0" wp14:anchorId="7260B2AE" wp14:editId="54747258">
            <wp:extent cx="6021626" cy="81572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628" cy="817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B8CBC" w14:textId="77777777" w:rsidR="00823B2B" w:rsidRPr="00B15AAC" w:rsidRDefault="00823B2B" w:rsidP="002C49B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EAA4AD0" w14:textId="77777777" w:rsidR="002C49B8" w:rsidRPr="00B15AAC" w:rsidRDefault="002C49B8" w:rsidP="002C49B8">
      <w:pPr>
        <w:spacing w:after="160" w:line="259" w:lineRule="auto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B15AAC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br w:type="page"/>
      </w:r>
    </w:p>
    <w:p w14:paraId="49CF1D29" w14:textId="0904A3CF" w:rsidR="002C49B8" w:rsidRDefault="002C49B8" w:rsidP="002C49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PRIHODI / PRIMICI / VIŠAK PRIHODA </w:t>
      </w:r>
      <w:r w:rsidR="00823B2B">
        <w:rPr>
          <w:rFonts w:ascii="Arial" w:eastAsia="Times New Roman" w:hAnsi="Arial" w:cs="Arial"/>
          <w:b/>
          <w:sz w:val="20"/>
          <w:szCs w:val="20"/>
          <w:lang w:eastAsia="hr-HR"/>
        </w:rPr>
        <w:t>–</w:t>
      </w: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GRAD</w:t>
      </w:r>
    </w:p>
    <w:p w14:paraId="120CE770" w14:textId="77777777" w:rsidR="00891B6B" w:rsidRDefault="00891B6B" w:rsidP="002C49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96520DE" w14:textId="1253827F" w:rsidR="00823B2B" w:rsidRPr="002A77E1" w:rsidRDefault="00823B2B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  <w:r w:rsidRPr="002A77E1">
        <w:rPr>
          <w:rFonts w:ascii="Arial" w:eastAsia="Times New Roman" w:hAnsi="Arial" w:cs="Arial"/>
          <w:sz w:val="16"/>
          <w:szCs w:val="16"/>
          <w:lang w:eastAsia="hr-HR"/>
        </w:rPr>
        <w:t>EUR</w:t>
      </w:r>
    </w:p>
    <w:p w14:paraId="22A30E46" w14:textId="38746B06" w:rsidR="00823B2B" w:rsidRPr="00D300E1" w:rsidRDefault="00823B2B" w:rsidP="002C49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823B2B">
        <w:rPr>
          <w:noProof/>
          <w:lang w:eastAsia="hr-HR"/>
        </w:rPr>
        <w:drawing>
          <wp:inline distT="0" distB="0" distL="0" distR="0" wp14:anchorId="342785CA" wp14:editId="169931B9">
            <wp:extent cx="5760720" cy="8822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ABCDF" w14:textId="77777777" w:rsidR="002C49B8" w:rsidRPr="00D300E1" w:rsidRDefault="002C49B8" w:rsidP="002C49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PRIHODI / PRIMICI / VIŠAK PRIHODA - PRORAČUNSKI KORISNICI</w:t>
      </w:r>
    </w:p>
    <w:p w14:paraId="4BBC7B0C" w14:textId="66E30539" w:rsidR="002C49B8" w:rsidRDefault="002C49B8" w:rsidP="002C49B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2E4C5B03" w14:textId="424C4CDE" w:rsidR="00823B2B" w:rsidRPr="002A77E1" w:rsidRDefault="00823B2B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  <w:r w:rsidRPr="002A77E1">
        <w:rPr>
          <w:rFonts w:ascii="Arial" w:eastAsia="Times New Roman" w:hAnsi="Arial" w:cs="Arial"/>
          <w:sz w:val="16"/>
          <w:szCs w:val="16"/>
          <w:lang w:eastAsia="hr-HR"/>
        </w:rPr>
        <w:t>EUR</w:t>
      </w:r>
    </w:p>
    <w:p w14:paraId="042995DA" w14:textId="2B490FBE" w:rsidR="00823B2B" w:rsidRDefault="00823B2B" w:rsidP="002C49B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823B2B">
        <w:rPr>
          <w:noProof/>
          <w:lang w:eastAsia="hr-HR"/>
        </w:rPr>
        <w:drawing>
          <wp:inline distT="0" distB="0" distL="0" distR="0" wp14:anchorId="08B015D3" wp14:editId="2D4F758B">
            <wp:extent cx="5760720" cy="871842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2027F" w14:textId="77777777" w:rsidR="00823B2B" w:rsidRPr="00B15AAC" w:rsidRDefault="00823B2B" w:rsidP="002C49B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42F9765F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Prihodi  i primici Proračuna Grada Zagreba po ekonomskoj klasifikaciji za 2023. su:</w:t>
      </w:r>
    </w:p>
    <w:p w14:paraId="773EF8FE" w14:textId="77777777" w:rsidR="002C49B8" w:rsidRPr="006848CB" w:rsidRDefault="002C49B8" w:rsidP="002C49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1856EE" w14:textId="1E43372F" w:rsidR="00716C48" w:rsidRPr="00716C48" w:rsidRDefault="00716C48" w:rsidP="00716C48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716C4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 xml:space="preserve">PRIHODI POSLOVANJA </w:t>
      </w:r>
    </w:p>
    <w:p w14:paraId="36DC7EC3" w14:textId="77777777" w:rsidR="002C49B8" w:rsidRPr="006848CB" w:rsidRDefault="002C49B8" w:rsidP="002C49B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poreza:</w:t>
      </w:r>
    </w:p>
    <w:p w14:paraId="43F7BDEE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porez i prirez na dohodak,  </w:t>
      </w:r>
    </w:p>
    <w:p w14:paraId="123E2B0E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porezi na imovinu,</w:t>
      </w:r>
    </w:p>
    <w:p w14:paraId="76067885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porezi na robu i usluge;</w:t>
      </w:r>
    </w:p>
    <w:p w14:paraId="714A8E9C" w14:textId="28C20486" w:rsidR="002C49B8" w:rsidRPr="006848CB" w:rsidRDefault="002C49B8" w:rsidP="002C49B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iz inozemstva i od subjekata unutar općeg proračuna:</w:t>
      </w:r>
    </w:p>
    <w:p w14:paraId="544DE018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od međunarodnih organizacija te institucija i tijela EU,</w:t>
      </w:r>
    </w:p>
    <w:p w14:paraId="4A9AE870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proračunu iz drugih proračuna,</w:t>
      </w:r>
    </w:p>
    <w:p w14:paraId="33D3E3DC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proračunskim korisnicima iz proračuna koji im nije nadležan,</w:t>
      </w:r>
    </w:p>
    <w:p w14:paraId="62D93A39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izravnanja za decentralizirane funkcije,</w:t>
      </w:r>
    </w:p>
    <w:p w14:paraId="429B8B9A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pomoći temeljem prijenosa EU sredstava; </w:t>
      </w:r>
    </w:p>
    <w:p w14:paraId="64476630" w14:textId="77777777" w:rsidR="002C49B8" w:rsidRPr="006848CB" w:rsidRDefault="002C49B8" w:rsidP="002C49B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imovine:</w:t>
      </w:r>
    </w:p>
    <w:p w14:paraId="22283813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financijske imovine,</w:t>
      </w:r>
    </w:p>
    <w:p w14:paraId="7BFBF54F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nefinancijske imovine,</w:t>
      </w:r>
    </w:p>
    <w:p w14:paraId="0BFED1B0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kamata na dane zajmove;</w:t>
      </w:r>
    </w:p>
    <w:p w14:paraId="49BEF553" w14:textId="77777777" w:rsidR="002C49B8" w:rsidRPr="006848CB" w:rsidRDefault="002C49B8" w:rsidP="002C49B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upravnih i administrativnih pristojbi, pristojbi po posebnim propisima i naknada:</w:t>
      </w:r>
    </w:p>
    <w:p w14:paraId="3DD64752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upravne i administrativne pristojbe,</w:t>
      </w:r>
    </w:p>
    <w:p w14:paraId="607AEA48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po posebnim propisima,</w:t>
      </w:r>
    </w:p>
    <w:p w14:paraId="667AAFA9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komunalni doprinosi i naknade;</w:t>
      </w:r>
    </w:p>
    <w:p w14:paraId="0BB1C8A1" w14:textId="77777777" w:rsidR="002C49B8" w:rsidRPr="006848CB" w:rsidRDefault="002C49B8" w:rsidP="002C49B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kazne, upravne mjere i ostali prihodi:</w:t>
      </w:r>
    </w:p>
    <w:p w14:paraId="3E6A80FC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kazne i upravne mjere,</w:t>
      </w:r>
    </w:p>
    <w:p w14:paraId="16E31BBE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ostali prihodi.</w:t>
      </w:r>
    </w:p>
    <w:p w14:paraId="21ABF37C" w14:textId="77777777" w:rsidR="002C49B8" w:rsidRPr="006848CB" w:rsidRDefault="002C49B8" w:rsidP="002C49B8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47FD40" w14:textId="61C1A7D5" w:rsidR="00716C48" w:rsidRPr="00716C48" w:rsidRDefault="00716C48" w:rsidP="00716C48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716C4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PRIHODI OD PRODAJE NEFINANCIJSKE IMOVINE</w:t>
      </w:r>
    </w:p>
    <w:p w14:paraId="4B9C4213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prihodi od prodaje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neproizvedene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dugotrajne imovine:</w:t>
      </w:r>
    </w:p>
    <w:p w14:paraId="449F9F67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materijalne imovine - prirodnih bogatstava,</w:t>
      </w:r>
    </w:p>
    <w:p w14:paraId="3AB31DB7" w14:textId="77777777" w:rsidR="002C49B8" w:rsidRPr="006848CB" w:rsidRDefault="002C49B8" w:rsidP="002C49B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nematerijalne imovine;</w:t>
      </w:r>
    </w:p>
    <w:p w14:paraId="0487D385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proizvedene dugotrajne imovine:</w:t>
      </w:r>
    </w:p>
    <w:p w14:paraId="69CA4737" w14:textId="2205F351" w:rsidR="002C49B8" w:rsidRPr="009F2142" w:rsidRDefault="002C49B8" w:rsidP="009F2142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F2142">
        <w:rPr>
          <w:rFonts w:ascii="Arial" w:eastAsia="Times New Roman" w:hAnsi="Arial" w:cs="Arial"/>
          <w:sz w:val="20"/>
          <w:szCs w:val="20"/>
          <w:lang w:eastAsia="hr-HR"/>
        </w:rPr>
        <w:t>prihodi od prodaje građevinskih objekata.</w:t>
      </w:r>
    </w:p>
    <w:p w14:paraId="101B0823" w14:textId="77777777" w:rsidR="002C49B8" w:rsidRPr="006848CB" w:rsidRDefault="002C49B8" w:rsidP="002C49B8">
      <w:pPr>
        <w:spacing w:after="0" w:line="240" w:lineRule="auto"/>
        <w:ind w:left="186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9FBBCC7" w14:textId="00B9225C" w:rsidR="00716C48" w:rsidRPr="00716C48" w:rsidRDefault="00716C48" w:rsidP="00716C48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716C4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PRIMICI OD FINANCIJSKE IMOVINE I ZADUŽIVANJA</w:t>
      </w:r>
    </w:p>
    <w:p w14:paraId="2E0DAB4F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primljeni povrati glavnica danih zajmova i depozita,</w:t>
      </w:r>
    </w:p>
    <w:p w14:paraId="5D71BEC1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primici od prodaje dionica i udjela u glavnici,</w:t>
      </w:r>
    </w:p>
    <w:p w14:paraId="6FAFCFC5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primici od zaduživanja.</w:t>
      </w:r>
    </w:p>
    <w:p w14:paraId="46C2BAB7" w14:textId="77777777" w:rsidR="002C49B8" w:rsidRPr="006848CB" w:rsidRDefault="002C49B8" w:rsidP="002C49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781EBF4" w14:textId="77777777" w:rsidR="002C49B8" w:rsidRPr="009F2142" w:rsidRDefault="002C49B8" w:rsidP="002C49B8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hr-HR"/>
        </w:rPr>
      </w:pPr>
    </w:p>
    <w:p w14:paraId="0E45B195" w14:textId="49637F49" w:rsidR="002C49B8" w:rsidRPr="005920F2" w:rsidRDefault="005920F2" w:rsidP="005920F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920F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Prihodi i primici proračuna Grada Zagreba bez vlastitih i namjenskih prihoda i primitaka proračunskih korisnika </w:t>
      </w:r>
      <w:r w:rsidR="002C49B8" w:rsidRPr="005920F2">
        <w:rPr>
          <w:rFonts w:ascii="Arial" w:eastAsia="Times New Roman" w:hAnsi="Arial" w:cs="Arial"/>
          <w:sz w:val="20"/>
          <w:szCs w:val="20"/>
          <w:lang w:eastAsia="hr-HR"/>
        </w:rPr>
        <w:t xml:space="preserve">planiraju se u iznosu od 1.484.165.595 eura što je 0,53% više u odnosu na plan proračuna 2022. godine.  </w:t>
      </w:r>
    </w:p>
    <w:p w14:paraId="77D1700C" w14:textId="06C80817" w:rsidR="00716C48" w:rsidRDefault="002C49B8" w:rsidP="00716C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Obrazloženje planiranih iznosa prihoda i primitaka daje se u nastavku.</w:t>
      </w:r>
    </w:p>
    <w:p w14:paraId="42EB1D31" w14:textId="77777777" w:rsidR="00716C48" w:rsidRDefault="00716C48" w:rsidP="00716C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8C46C14" w14:textId="7A4436CB" w:rsidR="00716C48" w:rsidRPr="004A0BFF" w:rsidRDefault="00716C48" w:rsidP="004A0BF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4A0B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 xml:space="preserve">PRIHODI POSLOVANJA </w:t>
      </w:r>
    </w:p>
    <w:p w14:paraId="5B3B5252" w14:textId="7FC30631" w:rsidR="002C49B8" w:rsidRPr="006848CB" w:rsidRDefault="002C49B8" w:rsidP="00716C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0DD1EA69" w14:textId="77777777" w:rsidR="002C49B8" w:rsidRPr="006848CB" w:rsidRDefault="002C49B8" w:rsidP="00716C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Prihodi poslovanja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1.335.692.181 eura i u strukturi prihoda i primitaka čine 90,0%.</w:t>
      </w:r>
    </w:p>
    <w:p w14:paraId="491A70B9" w14:textId="77777777" w:rsidR="002C49B8" w:rsidRPr="006848CB" w:rsidRDefault="002C49B8" w:rsidP="002C49B8">
      <w:pPr>
        <w:spacing w:after="0" w:line="240" w:lineRule="auto"/>
        <w:ind w:left="186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6333FD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Prihodi od poreza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 917.167.000 eura i obuhvaćaju porez i prirez na dohodak, poreze na imovinu i poreze na robu i usluge.</w:t>
      </w:r>
    </w:p>
    <w:p w14:paraId="76CE2F06" w14:textId="77777777" w:rsidR="002C49B8" w:rsidRPr="006848CB" w:rsidRDefault="002C49B8" w:rsidP="002C49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EEEE945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Porez i prirez na dohodak planira se u iznosu od 856.100.000 eura i predstavlja najznačajniji prihod Grada.</w:t>
      </w:r>
    </w:p>
    <w:p w14:paraId="0E77F215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A8EC654" w14:textId="65AD4D2A" w:rsidR="002C49B8" w:rsidRPr="006848CB" w:rsidRDefault="002C49B8" w:rsidP="002C49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Naplata poreza i prireza na dohodak regulirana je Zakonom o porezu na dohodak (Narodne novine 115/16, 106/18, 32/20 i 138/20</w:t>
      </w:r>
      <w:r w:rsidR="00261186">
        <w:rPr>
          <w:rFonts w:ascii="Arial" w:eastAsia="Times New Roman" w:hAnsi="Arial" w:cs="Arial"/>
          <w:sz w:val="20"/>
          <w:szCs w:val="20"/>
          <w:lang w:eastAsia="hr-HR"/>
        </w:rPr>
        <w:t>)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a u narednom razdoblju predviđaju se izmjene </w:t>
      </w:r>
      <w:r w:rsidRPr="006848CB">
        <w:rPr>
          <w:rFonts w:ascii="Arial" w:hAnsi="Arial" w:cs="Arial"/>
          <w:sz w:val="20"/>
          <w:szCs w:val="20"/>
        </w:rPr>
        <w:t>u smislu povećanja iznosa primitaka koje fizičke osobe mogu ostvariti na godišnjoj razini kako bi se i dalje smatrale uzdržavanim članovima.</w:t>
      </w:r>
    </w:p>
    <w:p w14:paraId="425B4EEB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lastRenderedPageBreak/>
        <w:t>Prema Zakonu o financiranju jedinica lokalne i područne (regionalne) samouprave (Narodne novine 127/17 i 138/20), prihodi od poreza na dohodak ostvarenog na području Grada Zagreba u cijelosti pripadaju Gradu.</w:t>
      </w:r>
    </w:p>
    <w:p w14:paraId="54769BD8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Prema Zakonu o obnovi zgrada oštećenih potresom na području Grada Zagreba, Krapinsko-zagorske županije, Zagrebačke županije, Sisačko-moslavačke županije i Karlovačke županije (Narodne novine 102/20, 10/21 i 117/21), udio za decentralizirane funkcije od 6% može se utrošiti u svrhu saniranja šteta i obnove, a sredstva za pokriće rashoda za decentralizirane funkcije osnovnog i srednjeg školstva, socijalne skrbi, zdravstva i vatrogastva osiguravaju se u cijelosti iz pomoći izravnanja za decentralizirane funkcije koje se osiguravaju u državnom proračunu.</w:t>
      </w:r>
    </w:p>
    <w:p w14:paraId="6545A19B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B55A5FA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Stopa prireza porezu na dohodak utvrđena je Odlukom o lokalnim porezima i o prirezu porezu na dohodak (Službeni glasnik Grada Zagreba 6/17, 22/17 i 34/20) i iznosi 18% te su u skladu s tim planirani i prihodi od prireza porezu na dohodak. </w:t>
      </w:r>
    </w:p>
    <w:p w14:paraId="5FCD4C86" w14:textId="77777777" w:rsidR="002C49B8" w:rsidRPr="006848CB" w:rsidRDefault="002C49B8" w:rsidP="002C49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1FD8F50" w14:textId="440CB2AA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Porezi na imovinu planiraju se u iznosu od 49.982.000 eura i čine ih porez na promet nekretnina, porez na nasljedstva i darove i porez na kuće za odmor.</w:t>
      </w:r>
    </w:p>
    <w:p w14:paraId="576FD9B6" w14:textId="77777777" w:rsidR="002C49B8" w:rsidRPr="006848CB" w:rsidRDefault="002C49B8" w:rsidP="002C49B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8FFF94D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Vrijednosno najznačajniji - porez na promet nekretnina, planira se u iznosu od 49.316.000 eura. Prema Zakonu o porezu na promet nekretnina (Narodne novine 115/16 i 106/18) porezna stopa iznosi 3%, a prihod u cijelosti pripada lokalnim jedinicama.</w:t>
      </w:r>
    </w:p>
    <w:p w14:paraId="0F0BE52E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5663BFE5" w14:textId="756C2DF5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Porezi na robu i usluge planiraju se u iznosu od 11.085.000 eur</w:t>
      </w:r>
      <w:r w:rsidR="00261186">
        <w:rPr>
          <w:rFonts w:ascii="Arial" w:eastAsia="Times New Roman" w:hAnsi="Arial" w:cs="Arial"/>
          <w:sz w:val="20"/>
          <w:szCs w:val="20"/>
          <w:lang w:eastAsia="hr-HR"/>
        </w:rPr>
        <w:t>a, a glavnina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se ostvaruje od poreza na cestovna motorna vozila.</w:t>
      </w:r>
    </w:p>
    <w:p w14:paraId="4BC59825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66AA91E" w14:textId="677DC558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Pomoći iz inozemstva i od subjekata unutar općeg proračuna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kao pomoći od međunarodnih organizacija te institucija i tijela EU, pomoći proračunu iz drugih proračuna, pomoći od izvanproračunskih korisnika, pomoći izravnanja za decentralizirane funkcije, pomoći temeljem prijenosa EU sredstava, pomoći iz Fonda solidarnosti i </w:t>
      </w:r>
      <w:r w:rsidR="0033241A">
        <w:rPr>
          <w:rFonts w:ascii="Arial" w:eastAsia="Times New Roman" w:hAnsi="Arial" w:cs="Arial"/>
          <w:sz w:val="20"/>
          <w:szCs w:val="20"/>
          <w:lang w:eastAsia="hr-HR"/>
        </w:rPr>
        <w:t>Mehanizma za oporavak i otpornost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02355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Ukupne pomoći planiraju se u iznosu od 212.464.714 eura i čine 14,32% od ukupnih prihoda i primitaka.</w:t>
      </w:r>
    </w:p>
    <w:p w14:paraId="74E6D064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5D58D21" w14:textId="238D8643" w:rsidR="002C49B8" w:rsidRPr="006848CB" w:rsidRDefault="002C49B8" w:rsidP="00CB295F">
      <w:pPr>
        <w:pStyle w:val="ListParagraph"/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Pomoći od međunarodnih organizacija te institucija i tijela EU planiraju se u iznosu od 927.500,00 eura, a odnose se na projekte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Socrates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Life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loop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ProGireg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Tribute, Transport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innovation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84127">
        <w:rPr>
          <w:rFonts w:ascii="Arial" w:eastAsia="Times New Roman" w:hAnsi="Arial" w:cs="Arial"/>
          <w:sz w:val="20"/>
          <w:szCs w:val="20"/>
          <w:lang w:eastAsia="hr-HR"/>
        </w:rPr>
        <w:t>te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za pripreme i sufinanciranje projekata prijavljenih na međunarodne natječaje;</w:t>
      </w:r>
    </w:p>
    <w:p w14:paraId="7C940E1D" w14:textId="77777777" w:rsidR="002C49B8" w:rsidRPr="006848CB" w:rsidRDefault="002C49B8" w:rsidP="002C49B8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6EE7AA6" w14:textId="67DDBA52" w:rsidR="002C49B8" w:rsidRPr="006848CB" w:rsidRDefault="002C49B8" w:rsidP="00CB295F">
      <w:pPr>
        <w:pStyle w:val="ListParagraph"/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proračunu iz drugih proračuna planiraju se u iznosu od 7.312.990 eura</w:t>
      </w:r>
      <w:r w:rsidR="00D711DE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a odnose se </w:t>
      </w:r>
      <w:r w:rsidR="00A00D1E">
        <w:rPr>
          <w:rFonts w:ascii="Arial" w:eastAsia="Times New Roman" w:hAnsi="Arial" w:cs="Arial"/>
          <w:sz w:val="20"/>
          <w:szCs w:val="20"/>
          <w:lang w:eastAsia="hr-HR"/>
        </w:rPr>
        <w:t xml:space="preserve">sufinanciranje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najamnine za Arenu, </w:t>
      </w:r>
      <w:r w:rsidR="00A00D1E">
        <w:rPr>
          <w:rFonts w:ascii="Arial" w:eastAsia="Times New Roman" w:hAnsi="Arial" w:cs="Arial"/>
          <w:sz w:val="20"/>
          <w:szCs w:val="20"/>
          <w:lang w:eastAsia="hr-HR"/>
        </w:rPr>
        <w:t>sufinanciranje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prijevoza učenika srednjih škola, interventnu mjeru za smanjenje otpada, modernizaciju pothodnika, poticanje obrta, malog i srednjeg poduzetništva, potresni rizik -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multisenzorsko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snimanje, provedbu ITU mehanizama i  projekt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Greenway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>;</w:t>
      </w:r>
    </w:p>
    <w:p w14:paraId="15E425EC" w14:textId="77777777" w:rsidR="002C49B8" w:rsidRPr="006848CB" w:rsidRDefault="002C49B8" w:rsidP="002C49B8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C8F8C9F" w14:textId="77777777" w:rsidR="002C49B8" w:rsidRPr="006848CB" w:rsidRDefault="002C49B8" w:rsidP="00CB295F">
      <w:pPr>
        <w:pStyle w:val="ListParagraph"/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Pomoći od izvanproračunskih korisnika planiraju se u iznosu od 16.600 eura i odnose se na projekt Energetska bilanca, informacijski sustav i strateški dokumenti te projekt Nadogradnja platforme Zagreb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Smart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City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Hub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A12B150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A292627" w14:textId="77777777" w:rsidR="002C49B8" w:rsidRPr="006848CB" w:rsidRDefault="002C49B8" w:rsidP="00CB295F">
      <w:pPr>
        <w:pStyle w:val="ListParagraph"/>
        <w:numPr>
          <w:ilvl w:val="0"/>
          <w:numId w:val="4"/>
        </w:numPr>
        <w:tabs>
          <w:tab w:val="num" w:pos="993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izravnanja za decentralizirane funkcije planiraju se u iznosu od 43.800.000 eura. Zakonom o obnovi zgrada oštećenih potresom na području Grada Zagreba, Krapinsko-zagorske županije, Zagrebačke županije, Sisačko-moslavačke županije i Karlovačke županije, udio za decentralizirane funkcije od 6% za pokriće rashoda za decentralizirane funkcije osnovnog i srednjeg školstva, socijalne skrbi, zdravstva i vatrogastva može se utrošiti u svrhu saniranja šteta i obnove zbog potresa, a sredstva za financiranje decentraliziranih funkcija osiguravaju se u cijelosti iz pomoći izravnanja koje se osiguravaju u državnom proračunu;</w:t>
      </w:r>
    </w:p>
    <w:p w14:paraId="37A962B6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783CB0F6" w14:textId="77777777" w:rsidR="002C49B8" w:rsidRPr="006848CB" w:rsidRDefault="002C49B8" w:rsidP="00CB295F">
      <w:pPr>
        <w:pStyle w:val="ListParagraph"/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Pomoći  temeljem prijenosa EU sredstava planiraju se u iznosu od 158.323.764 eura:</w:t>
      </w:r>
    </w:p>
    <w:p w14:paraId="4B5DCD32" w14:textId="66388FEA" w:rsidR="002C49B8" w:rsidRPr="006848CB" w:rsidRDefault="002C49B8" w:rsidP="00CB29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iz Fonda solidarnosti planira se iznos od 81.869.269,00 eura i to za</w:t>
      </w:r>
      <w:r w:rsidR="007D2B9F">
        <w:rPr>
          <w:rFonts w:ascii="Arial" w:eastAsia="Times New Roman" w:hAnsi="Arial" w:cs="Arial"/>
          <w:sz w:val="20"/>
          <w:szCs w:val="20"/>
          <w:lang w:eastAsia="hr-HR"/>
        </w:rPr>
        <w:t xml:space="preserve"> skladištenje i o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porabu građevinskog otpada nakon potresa, obnovu potresom oštećenih zgrada, izvanredno održavanje cesta, održavanje i opremanje usta</w:t>
      </w:r>
      <w:r w:rsidR="007D2B9F">
        <w:rPr>
          <w:rFonts w:ascii="Arial" w:eastAsia="Times New Roman" w:hAnsi="Arial" w:cs="Arial"/>
          <w:sz w:val="20"/>
          <w:szCs w:val="20"/>
          <w:lang w:eastAsia="hr-HR"/>
        </w:rPr>
        <w:t>nova osnovnih i srednjih škola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, provedbu mjera zaštite kapele Sv. Jurja i refundaciju utrošenih sredstava;</w:t>
      </w:r>
    </w:p>
    <w:p w14:paraId="6895CC81" w14:textId="77777777" w:rsidR="002C49B8" w:rsidRPr="006848CB" w:rsidRDefault="002C49B8" w:rsidP="002C49B8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5D36CCB" w14:textId="0DDB7F06" w:rsidR="002C49B8" w:rsidRPr="00F02355" w:rsidRDefault="002C49B8" w:rsidP="00CB29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F055A">
        <w:rPr>
          <w:rFonts w:ascii="Arial" w:eastAsia="Times New Roman" w:hAnsi="Arial" w:cs="Arial"/>
          <w:sz w:val="20"/>
          <w:szCs w:val="20"/>
          <w:lang w:eastAsia="hr-HR"/>
        </w:rPr>
        <w:t xml:space="preserve">iz </w:t>
      </w:r>
      <w:r w:rsidR="0033241A" w:rsidRPr="003F055A">
        <w:rPr>
          <w:rFonts w:ascii="Arial" w:eastAsia="Times New Roman" w:hAnsi="Arial" w:cs="Arial"/>
          <w:sz w:val="20"/>
          <w:szCs w:val="20"/>
          <w:lang w:eastAsia="hr-HR"/>
        </w:rPr>
        <w:t>Mehanizma za oporavak i otpornost</w:t>
      </w:r>
      <w:r w:rsidRPr="003F055A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64.620.660 eura i to za </w:t>
      </w:r>
      <w:r w:rsidR="007D2B9F" w:rsidRPr="003F055A">
        <w:rPr>
          <w:rFonts w:ascii="Arial" w:eastAsia="Times New Roman" w:hAnsi="Arial" w:cs="Arial"/>
          <w:sz w:val="20"/>
          <w:szCs w:val="20"/>
          <w:lang w:eastAsia="hr-HR"/>
        </w:rPr>
        <w:t>izgradnju, dogradnju, rekonstrukciju i opremanje predškolskih ustanova radi osiguranja infrastrukturnih i materijalnih kapaciteta za povećanje dostupnosti ranog i predškolskog odgoja i obrazovanja</w:t>
      </w:r>
      <w:r w:rsidR="00F02355" w:rsidRPr="003F055A">
        <w:rPr>
          <w:rFonts w:ascii="Arial" w:eastAsia="Times New Roman" w:hAnsi="Arial" w:cs="Arial"/>
          <w:sz w:val="20"/>
          <w:szCs w:val="20"/>
          <w:lang w:eastAsia="hr-HR"/>
        </w:rPr>
        <w:t xml:space="preserve"> odnosno</w:t>
      </w:r>
      <w:r w:rsidR="0033241A" w:rsidRPr="003F055A">
        <w:rPr>
          <w:rFonts w:ascii="Arial" w:eastAsia="Times New Roman" w:hAnsi="Arial" w:cs="Arial"/>
          <w:sz w:val="20"/>
          <w:szCs w:val="20"/>
          <w:lang w:eastAsia="hr-HR"/>
        </w:rPr>
        <w:t xml:space="preserve"> osnovnih i srednjih škola za potrebe </w:t>
      </w:r>
      <w:proofErr w:type="spellStart"/>
      <w:r w:rsidR="0033241A" w:rsidRPr="003F055A">
        <w:rPr>
          <w:rFonts w:ascii="Arial" w:eastAsia="Times New Roman" w:hAnsi="Arial" w:cs="Arial"/>
          <w:sz w:val="20"/>
          <w:szCs w:val="20"/>
          <w:lang w:eastAsia="hr-HR"/>
        </w:rPr>
        <w:t>jednosmjenskog</w:t>
      </w:r>
      <w:proofErr w:type="spellEnd"/>
      <w:r w:rsidR="0033241A" w:rsidRPr="003F055A">
        <w:rPr>
          <w:rFonts w:ascii="Arial" w:eastAsia="Times New Roman" w:hAnsi="Arial" w:cs="Arial"/>
          <w:sz w:val="20"/>
          <w:szCs w:val="20"/>
          <w:lang w:eastAsia="hr-HR"/>
        </w:rPr>
        <w:t xml:space="preserve"> rada i cjelodnevne nastave</w:t>
      </w:r>
      <w:r w:rsidR="00F02355" w:rsidRPr="003F055A">
        <w:rPr>
          <w:rFonts w:ascii="Arial" w:eastAsia="Times New Roman" w:hAnsi="Arial" w:cs="Arial"/>
          <w:sz w:val="20"/>
          <w:szCs w:val="20"/>
          <w:lang w:eastAsia="hr-HR"/>
        </w:rPr>
        <w:t xml:space="preserve"> te </w:t>
      </w:r>
      <w:r w:rsidR="003F055A">
        <w:rPr>
          <w:rFonts w:ascii="Arial" w:eastAsia="Times New Roman" w:hAnsi="Arial" w:cs="Arial"/>
          <w:sz w:val="20"/>
          <w:szCs w:val="20"/>
          <w:lang w:eastAsia="hr-HR"/>
        </w:rPr>
        <w:t xml:space="preserve">cjelovitu </w:t>
      </w:r>
      <w:r w:rsidR="007D2B9F" w:rsidRPr="003F055A">
        <w:rPr>
          <w:rFonts w:ascii="Arial" w:eastAsia="Times New Roman" w:hAnsi="Arial" w:cs="Arial"/>
          <w:sz w:val="20"/>
          <w:szCs w:val="20"/>
          <w:lang w:eastAsia="hr-HR"/>
        </w:rPr>
        <w:t xml:space="preserve">obnovu </w:t>
      </w:r>
      <w:r w:rsidRPr="003F055A">
        <w:rPr>
          <w:rFonts w:ascii="Arial" w:eastAsia="Times New Roman" w:hAnsi="Arial" w:cs="Arial"/>
          <w:sz w:val="20"/>
          <w:szCs w:val="20"/>
          <w:lang w:eastAsia="hr-HR"/>
        </w:rPr>
        <w:t>objekata oštećenih u potresu</w:t>
      </w:r>
      <w:r w:rsidR="00F02355">
        <w:rPr>
          <w:rFonts w:ascii="Arial" w:eastAsia="Times New Roman" w:hAnsi="Arial" w:cs="Arial"/>
          <w:sz w:val="20"/>
          <w:szCs w:val="20"/>
          <w:lang w:eastAsia="hr-HR"/>
        </w:rPr>
        <w:t>;</w:t>
      </w:r>
    </w:p>
    <w:p w14:paraId="2B019239" w14:textId="77777777" w:rsidR="002C49B8" w:rsidRPr="006848CB" w:rsidRDefault="002C49B8" w:rsidP="002C49B8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6534C73" w14:textId="331D525F" w:rsidR="002C49B8" w:rsidRPr="006848CB" w:rsidRDefault="002C49B8" w:rsidP="00CB29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iz EU fondova u iznosu od 11.833.835 eura planiraju se sredstva za modernizaciju pothodnika, održavanje i opremanje ustanova u kulturi,  Interventnu mjeru za smanjenje otpada u Gradu Zagrebu, Potresni rizik Grada Zagreba -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multisenzorsko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zračno snimanje za potrebe procjene smanjenja rizika, energetsku obnovu zgrada javne namjene, projekt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Greenway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projekt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Solizag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, projekt Sovica, projekt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Greenway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– savska ruta, školska shema voće, povrće i mliječni proizvodi,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reciklažno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dvorište u naselju Podsused, provedbu ITU mehanizma te niz manjih projekata i programa;</w:t>
      </w:r>
    </w:p>
    <w:p w14:paraId="74A8DD5F" w14:textId="77777777" w:rsidR="002C49B8" w:rsidRPr="006848CB" w:rsidRDefault="002C49B8" w:rsidP="002C49B8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41809F" w14:textId="77777777" w:rsidR="002C49B8" w:rsidRPr="006848CB" w:rsidRDefault="002C49B8" w:rsidP="00CB29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Tekući prijenosi između proračunskih korisnika istog proračuna planiraju se u iznosu od 2.083.860 eura i odnose se na prijenos sredstava iz Gradskog ureda za obrazovanje, sport i mlade ustanovi Poliklinika za rehabilitaciju slušanja i govora SUVAG za podmirenje rashoda u okviru programa rehabilitacije djece s teškoćama i za pomoćnike u nastavi – faza V.</w:t>
      </w:r>
    </w:p>
    <w:p w14:paraId="24F01806" w14:textId="77777777" w:rsidR="002C49B8" w:rsidRPr="006848CB" w:rsidRDefault="002C49B8" w:rsidP="002C49B8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D663DD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Prihodi od imovine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obuhvaćaju prihode od financijske i nefinancijske imovine te prihode od kamata na dane zajmove. Planiraju se u iznosu od 56.990.700 eura. </w:t>
      </w:r>
    </w:p>
    <w:p w14:paraId="20C1EC47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A923536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Prihode od financijske imovine čine prihodi od kamata na depozite po viđenju i planiraju se u iznosu od 66.000 eura.</w:t>
      </w:r>
    </w:p>
    <w:p w14:paraId="66103527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16D3FF86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nefinancijske imovine planiraju se u iznosu od 56.858.700 eura i čine ih naknade za koncesije, prihodi od zakupa i iznajmljivanja imovine, naknada za korištenje nefinancijske imovine, naknade za ceste i ostali prihodi od nefinancijske imovine (naknada za zadržavanje nezakonito izgrađene zgrade u prostoru).</w:t>
      </w:r>
    </w:p>
    <w:p w14:paraId="5DFE6FCD" w14:textId="77777777" w:rsidR="002C49B8" w:rsidRPr="006848CB" w:rsidRDefault="002C49B8" w:rsidP="002C49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513E730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Naknade za koncesije obuhvaćaju naknade za koncesije na vodama i javnom vodnom dobru, distribuciju toplinske energije i plina, za izgradnju i upravljanje zračnom lukom, obavljanje dimnjačarskih usluga, koncesije za pružanje javne usluge čišćenja septičkih i sabirnih jama. Planiraju se u iznosu od 2.666.000 eura.</w:t>
      </w:r>
    </w:p>
    <w:p w14:paraId="6798DC80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E4FFFF3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zakupa i iznajmljivanja gradske imovine planiraju se u iznosu od 18.430.000 eura. Obuhvaćaju zakup poslovnih prostora, najam stanova i zakup javnih gradskih površina i poljoprivrednog zemljišta.</w:t>
      </w:r>
    </w:p>
    <w:p w14:paraId="0E1B0B3C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E8ABD50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Naknade za korištenje nefinancijske imovine planiraju se u iznosu od 5.022.700 eura. Obuhvaćaju naknade za eksploataciju mineralnih sirovina, naknade za korištenje prostora elektrana, spomeničku rentu, naknadu o pravu puta za elektroničku komunikacijsku infrastrukturu, naknadu za pravo lova i naknade za promjenu namjene poljoprivrednog zemljišta. </w:t>
      </w:r>
    </w:p>
    <w:p w14:paraId="6B8D6899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AF29AD0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Naknade za ceste planiraju se u iznosu od 30.490.000 eura. Najveći dio čini godišnja naknada za uporabu javnih cesta što se plaća pri registraciji motornih i priključnih vozila. Ti se prihodi planiraju na temelju Zakona o javnim cestama i Pravilnika o visini godišnje naknade za uporabu javnih cesta što se plaća prigodom registracije motornih i priključnih vozila. </w:t>
      </w:r>
    </w:p>
    <w:p w14:paraId="3829E053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8FA3EC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Ostale prihode od nefinancijske imovine čine naknade za zadržavanje nezakonito izgrađene zgrade u prostoru, a planiraju se u iznosu od 250.000 eura. </w:t>
      </w:r>
    </w:p>
    <w:p w14:paraId="5690716B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E5C0A28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Prihodi od kamata na dane zajmove planiraju se od kamata na dane zajmove građanima, ustanovama  i  trgovačkim društvima u javnom sektoru u iznosu od 66.000 eura. </w:t>
      </w:r>
    </w:p>
    <w:p w14:paraId="2BFE9D23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hr-HR"/>
        </w:rPr>
      </w:pPr>
    </w:p>
    <w:p w14:paraId="61DF2440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upravnih i administrativnih pristojbi, pristojbi po posebnim propisima i naknada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140.482.500 eura. </w:t>
      </w:r>
    </w:p>
    <w:p w14:paraId="487E919A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A49F6E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Upravne i administrativne pristojbe  planiraju se u iznosu od 2.812.500 eura i obuhvaćaju županijske, gradske i općinske pristojbe i naknade.</w:t>
      </w:r>
    </w:p>
    <w:p w14:paraId="58851AAC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55D1EEA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po posebnim propisima planiraju se u iznosu od 2.770.000 eura i obuhvaćaju vodni doprinos,</w:t>
      </w:r>
    </w:p>
    <w:p w14:paraId="6077B619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doprinose za šume, ostali nespomenuti prihodi i naknade od financijske imovine.</w:t>
      </w:r>
    </w:p>
    <w:p w14:paraId="6B91B4AC" w14:textId="77777777" w:rsidR="002C49B8" w:rsidRPr="006848CB" w:rsidRDefault="002C49B8" w:rsidP="002C49B8">
      <w:pPr>
        <w:tabs>
          <w:tab w:val="num" w:pos="18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CD1149" w14:textId="51D0AEFD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Vodni doprinos plaća se prema odredbama Zakona o </w:t>
      </w:r>
      <w:r w:rsidR="00261186">
        <w:rPr>
          <w:rFonts w:ascii="Arial" w:eastAsia="Times New Roman" w:hAnsi="Arial" w:cs="Arial"/>
          <w:sz w:val="20"/>
          <w:szCs w:val="20"/>
          <w:lang w:eastAsia="hr-HR"/>
        </w:rPr>
        <w:t>financiranju vodnog gospodarstva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(Narodne novine 153/09, 56/13, 120/16 i 66/19), a Gradu pripada 8% od naplaćenog iznosa vodnog doprinosa.</w:t>
      </w:r>
    </w:p>
    <w:p w14:paraId="091CFF74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3880C821" w14:textId="49C84699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Doprinos za šume planira se prema odredbama Zakona o šumama </w:t>
      </w:r>
      <w:r w:rsidR="00261186">
        <w:rPr>
          <w:rFonts w:ascii="Arial" w:eastAsia="Times New Roman" w:hAnsi="Arial" w:cs="Arial"/>
          <w:sz w:val="20"/>
          <w:szCs w:val="20"/>
          <w:lang w:eastAsia="hr-HR"/>
        </w:rPr>
        <w:t xml:space="preserve">(Narodne novine 68/18, 115/18,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98/19</w:t>
      </w:r>
      <w:r w:rsidR="00261186">
        <w:rPr>
          <w:rFonts w:ascii="Arial" w:eastAsia="Times New Roman" w:hAnsi="Arial" w:cs="Arial"/>
          <w:sz w:val="20"/>
          <w:szCs w:val="20"/>
          <w:lang w:eastAsia="hr-HR"/>
        </w:rPr>
        <w:t>, 32/20 i 145/20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) i koristi za financiranje izgradnje i održavanja komunalne infrastrukture.</w:t>
      </w:r>
    </w:p>
    <w:p w14:paraId="3F8A5C4D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03C64C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Ostale nespomenute prihode najvećim dijelom čine prihodi od sufinanciranja za obnovu zgrada koju plaćaju vlasnici stanova pri obnovi zgrada iz sredstava spomeničke rente te za sufinanciranje obnove pročelja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višestambenih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zgrada.</w:t>
      </w:r>
    </w:p>
    <w:p w14:paraId="3DDB20A9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A80BF13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Naknade od financijske imovine planiraju se od naknada za izdana jamstva Zagrebačkom Holdingu.</w:t>
      </w:r>
    </w:p>
    <w:p w14:paraId="582F00E9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E42CFA6" w14:textId="25EC6B84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Komunalni dop</w:t>
      </w:r>
      <w:r w:rsidR="00C55436">
        <w:rPr>
          <w:rFonts w:ascii="Arial" w:eastAsia="Times New Roman" w:hAnsi="Arial" w:cs="Arial"/>
          <w:sz w:val="20"/>
          <w:szCs w:val="20"/>
          <w:lang w:eastAsia="hr-HR"/>
        </w:rPr>
        <w:t xml:space="preserve">rinosi i naknade 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>planiraju se u iznosu 134.900.000 eura. Komunalni doprinos planira se u iznosu od 27.900.000 eura. Naplata komunalnog doprinosa uređena je Odlukom o komunalnom doprinosu (Službeni glasnik Grada Zagreba 4/19 i 22/20). Sredstva komunalnog doprinosa namijenjena su financiranju gradnje objekata i uređaja komunalne infrastrukture: javnih površina, nerazvrstanih cesta, groblja i krematorija te javne rasvjete.</w:t>
      </w:r>
    </w:p>
    <w:p w14:paraId="0424E774" w14:textId="77777777" w:rsidR="002C49B8" w:rsidRPr="006848CB" w:rsidRDefault="002C49B8" w:rsidP="002C49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CFFFF2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Komunalna naknada se planira u iznosu od 107.000.000 eura. Pitanje utvrđivanja, obračuna i naplate komunalne naknade uređeno je Odlukom o komunalnoj naknadi (Službeni glasnik Grada Zagreba 4/19 i 11/20) te Odlukom o vrijednosti boda komunalne naknade (Službeni glasnik Grada Zagreba 23/18). Sredstva komunalne naknade u cijelosti se raspoređuju za provođenje programa radova na održavanju komunalne infrastrukture.</w:t>
      </w:r>
    </w:p>
    <w:p w14:paraId="449AA03C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7B01F5E9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Kazne, upravne mjere i ostali prihodi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8.587.267 eura i čine ih kazne i ostali prihodi koji obuhvaćaju naknade režijskih troškova vanjskih korisnika, naknade troškova postupka, povrate u proračun, prihode od prodane električne energije te druge manje prihode koji se ne planiraju posebno. </w:t>
      </w:r>
    </w:p>
    <w:p w14:paraId="1543DCDD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AC36C89" w14:textId="64C609DE" w:rsidR="00716C48" w:rsidRPr="004A0BFF" w:rsidRDefault="00716C48" w:rsidP="004A0B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4A0B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PRIHODI OD PRODAJE NEFINANCIJSKE IMOVINE</w:t>
      </w:r>
    </w:p>
    <w:p w14:paraId="3A2F14FE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B45202D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Prihodi od prodaje nefinancijske imovine</w:t>
      </w: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28.549.000 eura. U strukturi prihoda i primitaka  čine 1,92%. Obuhvaćaju prihode od prodaje 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neproizvedene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i proizvedene dugotrajne imovine.</w:t>
      </w:r>
    </w:p>
    <w:p w14:paraId="65F03842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4BAB3AFB" w14:textId="73421CB4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materijalne imovine – prirodnih bogatstava planiraju se u iznosu od 16.000.000 eura,</w:t>
      </w:r>
      <w:r w:rsidRPr="006848CB">
        <w:rPr>
          <w:rFonts w:ascii="Arial" w:eastAsia="Times New Roman" w:hAnsi="Arial" w:cs="Arial"/>
          <w:sz w:val="20"/>
          <w:szCs w:val="20"/>
        </w:rPr>
        <w:t xml:space="preserve"> a odnose se na prodaju zemljišta radi formiranja parcele, kod legalizacije građevinskih objekata ili prodaje putem javnog natječaja. </w:t>
      </w:r>
    </w:p>
    <w:p w14:paraId="03028475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2A024BE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nematerijalne imovine – ostala prava planiraju se u iznosu od 270.000 eura, a odnose se na prihode prema ugovorima o pravu građenja.</w:t>
      </w:r>
    </w:p>
    <w:p w14:paraId="24AE5542" w14:textId="77777777" w:rsidR="002C49B8" w:rsidRPr="006848CB" w:rsidRDefault="002C49B8" w:rsidP="002C49B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09935A" w14:textId="77777777" w:rsidR="002C49B8" w:rsidRPr="006848CB" w:rsidRDefault="002C49B8" w:rsidP="002C49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građevinskih objekata planiraju se u iznosu od 12.279.000 eura i to:</w:t>
      </w:r>
    </w:p>
    <w:p w14:paraId="3D66BD63" w14:textId="77777777" w:rsidR="002C49B8" w:rsidRPr="006848CB" w:rsidRDefault="002C49B8" w:rsidP="002C49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7C42B4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stambenih objekata u iznosu od 4.779.000 eura:</w:t>
      </w:r>
    </w:p>
    <w:p w14:paraId="1F17AEA9" w14:textId="77777777" w:rsidR="002C49B8" w:rsidRPr="006848CB" w:rsidRDefault="002C49B8" w:rsidP="002C49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POS stanova – doznake APN,</w:t>
      </w:r>
    </w:p>
    <w:p w14:paraId="6A9456DE" w14:textId="2FC5675E" w:rsidR="002C49B8" w:rsidRPr="006848CB" w:rsidRDefault="002C49B8" w:rsidP="002C49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stanova na kojima postoji stanarsko pravo planiraju se sukladno Zakonu o prodaji stanova na kojima postoji stanarsko pravo. Ostvaruju se uglavnom od obročne otplate stanova, a koriste se za pribavljanje stanova za socijalne potrebe građana Grada Zagreba,</w:t>
      </w:r>
    </w:p>
    <w:p w14:paraId="57D57BCE" w14:textId="77777777" w:rsidR="002C49B8" w:rsidRPr="006848CB" w:rsidRDefault="002C49B8" w:rsidP="002C49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nadstojničkih stanova planiraju se sukladno Zakonu o prodaji stanova namijenjenih za nadstojnika stambene zgrade.</w:t>
      </w:r>
    </w:p>
    <w:p w14:paraId="33FB8306" w14:textId="77777777" w:rsidR="002C49B8" w:rsidRPr="006848CB" w:rsidRDefault="002C49B8" w:rsidP="002C49B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DE5A51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Prihodi od prodaje poslovnih objekata planiraju se u iznosu od 7.500.000 eura i odnose se na prihode od prodaje poslovnih prostora i  garaža.</w:t>
      </w:r>
    </w:p>
    <w:p w14:paraId="373BA6CC" w14:textId="77777777" w:rsidR="002C49B8" w:rsidRPr="006848CB" w:rsidRDefault="002C49B8" w:rsidP="002C49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CDF2C0" w14:textId="3E38D05F" w:rsidR="00716C48" w:rsidRPr="004A0BFF" w:rsidRDefault="00716C48" w:rsidP="004A0BF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4A0B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PRIMICI OD FINANCIJSKE IMOVINE I ZADUŽIVANJA</w:t>
      </w:r>
    </w:p>
    <w:p w14:paraId="2EBD9F9F" w14:textId="77777777" w:rsidR="002C49B8" w:rsidRPr="006848CB" w:rsidRDefault="002C49B8" w:rsidP="002C49B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BA16104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primljeni povrati glavnica danih zajmova i depozita,</w:t>
      </w:r>
    </w:p>
    <w:p w14:paraId="3913B085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primici od prodaje dionica i udjela u glavnici,</w:t>
      </w:r>
    </w:p>
    <w:p w14:paraId="43679E88" w14:textId="77777777" w:rsidR="002C49B8" w:rsidRPr="006848CB" w:rsidRDefault="002C49B8" w:rsidP="002C49B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primici od zaduživanja.</w:t>
      </w:r>
    </w:p>
    <w:p w14:paraId="7939946E" w14:textId="77777777" w:rsidR="002C49B8" w:rsidRPr="006848CB" w:rsidRDefault="002C49B8" w:rsidP="002C49B8">
      <w:pPr>
        <w:spacing w:after="0" w:line="240" w:lineRule="auto"/>
        <w:ind w:left="1140"/>
        <w:rPr>
          <w:rFonts w:ascii="Arial" w:eastAsia="Times New Roman" w:hAnsi="Arial" w:cs="Arial"/>
          <w:lang w:eastAsia="hr-HR"/>
        </w:rPr>
      </w:pPr>
    </w:p>
    <w:p w14:paraId="310035AD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Ukupni primici od financijske imovine i zaduživanja te ukupni izdaci za financijsku imovinu i otplate zajmova iskazani su u računu financiranja.</w:t>
      </w:r>
    </w:p>
    <w:p w14:paraId="7017EF1C" w14:textId="77777777" w:rsidR="002C49B8" w:rsidRPr="006848CB" w:rsidRDefault="002C49B8" w:rsidP="002C49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13CE707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Ukupni primici od financijske imovine i zaduživanja planirani su u iznosu od 119.924.414 eura i to:</w:t>
      </w:r>
    </w:p>
    <w:p w14:paraId="7877DA12" w14:textId="77777777" w:rsidR="002C49B8" w:rsidRPr="006848CB" w:rsidRDefault="002C49B8" w:rsidP="002C49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prodaja udjela u APIS-u u iznosu od 38.489.614 eura,</w:t>
      </w:r>
    </w:p>
    <w:p w14:paraId="28F5DF46" w14:textId="77777777" w:rsidR="002C49B8" w:rsidRPr="006848CB" w:rsidRDefault="002C49B8" w:rsidP="002C49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zaduživanje za kapitalne rashode u iznosu od 49.622.000 eura,</w:t>
      </w:r>
    </w:p>
    <w:p w14:paraId="7B834848" w14:textId="77777777" w:rsidR="002C49B8" w:rsidRPr="006848CB" w:rsidRDefault="002C49B8" w:rsidP="002C49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lastRenderedPageBreak/>
        <w:t>ustupi potraživanja ZOV-a (</w:t>
      </w:r>
      <w:proofErr w:type="spellStart"/>
      <w:r w:rsidRPr="006848CB">
        <w:rPr>
          <w:rFonts w:ascii="Arial" w:eastAsia="Times New Roman" w:hAnsi="Arial" w:cs="Arial"/>
          <w:sz w:val="20"/>
          <w:szCs w:val="20"/>
          <w:lang w:eastAsia="hr-HR"/>
        </w:rPr>
        <w:t>faktoring</w:t>
      </w:r>
      <w:proofErr w:type="spellEnd"/>
      <w:r w:rsidRPr="006848CB">
        <w:rPr>
          <w:rFonts w:ascii="Arial" w:eastAsia="Times New Roman" w:hAnsi="Arial" w:cs="Arial"/>
          <w:sz w:val="20"/>
          <w:szCs w:val="20"/>
          <w:lang w:eastAsia="hr-HR"/>
        </w:rPr>
        <w:t>) u iznosu od 31.772.800 eura,</w:t>
      </w:r>
    </w:p>
    <w:p w14:paraId="7678F9C6" w14:textId="77777777" w:rsidR="002C49B8" w:rsidRPr="006848CB" w:rsidRDefault="002C49B8" w:rsidP="002C49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povrat zajmova u iznosu od 40.000 eura.</w:t>
      </w:r>
    </w:p>
    <w:p w14:paraId="7D2FDD52" w14:textId="1690115C" w:rsidR="00EB7BC7" w:rsidRDefault="003578FA" w:rsidP="00EB7B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0649F">
        <w:rPr>
          <w:rFonts w:ascii="Arial" w:eastAsia="Times New Roman" w:hAnsi="Arial" w:cs="Arial"/>
          <w:sz w:val="20"/>
          <w:szCs w:val="20"/>
          <w:lang w:eastAsia="hr-HR"/>
        </w:rPr>
        <w:t>U odnosu na 2022. p</w:t>
      </w:r>
      <w:r w:rsidR="00EB7BC7" w:rsidRPr="0000649F">
        <w:rPr>
          <w:rFonts w:ascii="Arial" w:eastAsia="Times New Roman" w:hAnsi="Arial" w:cs="Arial"/>
          <w:sz w:val="20"/>
          <w:szCs w:val="20"/>
          <w:lang w:eastAsia="hr-HR"/>
        </w:rPr>
        <w:t>rimici od financijske imovine i zaduživanja su manji za 64</w:t>
      </w:r>
      <w:r w:rsidR="0000649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EB7BC7" w:rsidRPr="0000649F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00649F">
        <w:rPr>
          <w:rFonts w:ascii="Arial" w:eastAsia="Times New Roman" w:hAnsi="Arial" w:cs="Arial"/>
          <w:sz w:val="20"/>
          <w:szCs w:val="20"/>
          <w:lang w:eastAsia="hr-HR"/>
        </w:rPr>
        <w:t xml:space="preserve"> milijuna</w:t>
      </w:r>
      <w:r w:rsidR="00EB7BC7" w:rsidRPr="0000649F">
        <w:rPr>
          <w:rFonts w:ascii="Arial" w:eastAsia="Times New Roman" w:hAnsi="Arial" w:cs="Arial"/>
          <w:sz w:val="20"/>
          <w:szCs w:val="20"/>
          <w:lang w:eastAsia="hr-HR"/>
        </w:rPr>
        <w:t xml:space="preserve"> eura.</w:t>
      </w:r>
    </w:p>
    <w:p w14:paraId="399C7916" w14:textId="77777777" w:rsidR="00EB7BC7" w:rsidRDefault="00EB7BC7" w:rsidP="00EB7B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8C88F1F" w14:textId="55E69A26" w:rsidR="002C49B8" w:rsidRPr="00716C48" w:rsidRDefault="00716C48" w:rsidP="00716C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>V</w:t>
      </w:r>
      <w:r w:rsidRPr="00716C4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lastiti i namjenski prihodi i primici proračunskih korisnika </w:t>
      </w:r>
      <w:r w:rsidR="002C49B8" w:rsidRPr="00716C48">
        <w:rPr>
          <w:rFonts w:ascii="Arial" w:eastAsia="Times New Roman" w:hAnsi="Arial" w:cs="Arial"/>
          <w:bCs/>
          <w:sz w:val="20"/>
          <w:szCs w:val="20"/>
          <w:lang w:eastAsia="hr-HR"/>
        </w:rPr>
        <w:t>uključujući višak iz prethodnog razdoblja planiraju se u iznosu od 723.629.205 eura što je 15,40% više u odnosu na plan 2022. Na rast planiranih prihoda najznačajnije utječe povlačenje sredstava iz EU fondova.</w:t>
      </w:r>
    </w:p>
    <w:p w14:paraId="212783A3" w14:textId="77777777" w:rsidR="002C49B8" w:rsidRPr="006848CB" w:rsidRDefault="002C49B8" w:rsidP="002C49B8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CCD1FB3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 xml:space="preserve">Vlastiti i namjenski prihodi proračunskih korisnika planiraju se u proračunu, ali nisu dio novčanog tijeka te korisnici i nadalje na svojim računima ostvaruju te prihode i sa svojih računa podmiruju obveze/rashode koji se financiraju iz ovih izvora. </w:t>
      </w:r>
    </w:p>
    <w:p w14:paraId="1446158F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B5C86B" w14:textId="77777777" w:rsidR="002C49B8" w:rsidRPr="006848CB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848CB">
        <w:rPr>
          <w:rFonts w:ascii="Arial" w:eastAsia="Times New Roman" w:hAnsi="Arial" w:cs="Arial"/>
          <w:sz w:val="20"/>
          <w:szCs w:val="20"/>
          <w:lang w:eastAsia="hr-HR"/>
        </w:rPr>
        <w:t>Najznačajnije stavke prihoda kod proračunskih korisnika čine sredstva od pomoći koju korisnici ostvaruju iz državnog proračuna u iznosu od 279.270.489 eura, prihodi od HZZO-a na temelju ugovornih obveza u iznosu od 206.752.100 eura, pomoći temeljem prijenosa EU sredstava u iznosu od 104.997.520 eura, prihodi po posebnim propisima (sufinanciranje cijene predškolskog odgoja, ulaznice za kazališta i muzeje, sufinanciranje cijene obroka u školama itd.) u iznosu od 73.281.811 eura te vlastiti prihodi proračunskih korisnika u iznosu od 39.504.644 eura.</w:t>
      </w:r>
    </w:p>
    <w:p w14:paraId="5BD696EC" w14:textId="77777777" w:rsidR="002C49B8" w:rsidRDefault="002C49B8" w:rsidP="002C49B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304E2D9" w14:textId="3D7F56F4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937AA5A" w14:textId="478F251F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98FFBB7" w14:textId="03B87313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6236057" w14:textId="2633CB8A" w:rsidR="004F7380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C14301F" w14:textId="46C360AB" w:rsidR="002C229F" w:rsidRDefault="002C229F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p w14:paraId="766E7D7C" w14:textId="1DD25212" w:rsidR="00EE5044" w:rsidRPr="00F11EFC" w:rsidRDefault="00EE5044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11EFC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RASHODI I IZDACI</w:t>
      </w:r>
    </w:p>
    <w:p w14:paraId="5F4562D5" w14:textId="77777777" w:rsidR="00EE5044" w:rsidRDefault="00EE5044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F9953C" w14:textId="1E1DC07F" w:rsidR="00395E6C" w:rsidRPr="00A87367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D407A">
        <w:rPr>
          <w:rFonts w:ascii="Arial" w:eastAsia="Times New Roman" w:hAnsi="Arial" w:cs="Arial"/>
          <w:sz w:val="20"/>
          <w:szCs w:val="20"/>
          <w:lang w:eastAsia="hr-HR"/>
        </w:rPr>
        <w:t>Rashodi i izdaci Proračuna Grada Zagreba za 202</w:t>
      </w:r>
      <w:r w:rsidR="001F405B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7D407A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1782E">
        <w:rPr>
          <w:rFonts w:ascii="Arial" w:eastAsia="Times New Roman" w:hAnsi="Arial" w:cs="Arial"/>
          <w:sz w:val="20"/>
          <w:szCs w:val="20"/>
          <w:lang w:eastAsia="hr-HR"/>
        </w:rPr>
        <w:t xml:space="preserve"> uključujući planirano pokriće manjka iz prethodnog razdoblja</w:t>
      </w:r>
      <w:r w:rsidRPr="007D407A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ukupnom iznosu od </w:t>
      </w:r>
      <w:r w:rsidR="00133A49" w:rsidRPr="00133A49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Pr="00A87367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="00133A49">
        <w:rPr>
          <w:rFonts w:ascii="Arial" w:eastAsia="Times New Roman" w:hAnsi="Arial" w:cs="Arial"/>
          <w:b/>
          <w:sz w:val="20"/>
          <w:szCs w:val="20"/>
          <w:lang w:eastAsia="hr-HR"/>
        </w:rPr>
        <w:t>207</w:t>
      </w:r>
      <w:r w:rsidRPr="00A87367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="00133A49">
        <w:rPr>
          <w:rFonts w:ascii="Arial" w:eastAsia="Times New Roman" w:hAnsi="Arial" w:cs="Arial"/>
          <w:b/>
          <w:sz w:val="20"/>
          <w:szCs w:val="20"/>
          <w:lang w:eastAsia="hr-HR"/>
        </w:rPr>
        <w:t>794</w:t>
      </w:r>
      <w:r w:rsidRPr="00A87367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="007D407A" w:rsidRPr="00A87367">
        <w:rPr>
          <w:rFonts w:ascii="Arial" w:eastAsia="Times New Roman" w:hAnsi="Arial" w:cs="Arial"/>
          <w:b/>
          <w:sz w:val="20"/>
          <w:szCs w:val="20"/>
          <w:lang w:eastAsia="hr-HR"/>
        </w:rPr>
        <w:t>8</w:t>
      </w:r>
      <w:r w:rsidRPr="00A87367">
        <w:rPr>
          <w:rFonts w:ascii="Arial" w:eastAsia="Times New Roman" w:hAnsi="Arial" w:cs="Arial"/>
          <w:b/>
          <w:sz w:val="20"/>
          <w:szCs w:val="20"/>
          <w:lang w:eastAsia="hr-HR"/>
        </w:rPr>
        <w:t>00</w:t>
      </w:r>
      <w:r w:rsidRPr="00A873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75244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A87367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račune proračunskih korisnika odnosi </w:t>
      </w:r>
      <w:r w:rsidR="00E75244" w:rsidRPr="00E75244">
        <w:rPr>
          <w:rFonts w:ascii="Arial" w:eastAsia="Times New Roman" w:hAnsi="Arial" w:cs="Arial"/>
          <w:b/>
          <w:sz w:val="20"/>
          <w:szCs w:val="20"/>
          <w:lang w:eastAsia="hr-HR"/>
        </w:rPr>
        <w:t>723</w:t>
      </w:r>
      <w:r w:rsidRPr="00E75244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="00E75244" w:rsidRPr="00E75244">
        <w:rPr>
          <w:rFonts w:ascii="Arial" w:eastAsia="Times New Roman" w:hAnsi="Arial" w:cs="Arial"/>
          <w:b/>
          <w:sz w:val="20"/>
          <w:szCs w:val="20"/>
          <w:lang w:eastAsia="hr-HR"/>
        </w:rPr>
        <w:t>629</w:t>
      </w:r>
      <w:r w:rsidRPr="00E75244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="00E75244" w:rsidRPr="00E7524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205 </w:t>
      </w:r>
      <w:r w:rsidR="00E75244" w:rsidRPr="00E75244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A87367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569B8CDB" w14:textId="77777777" w:rsidR="00BA63D0" w:rsidRDefault="00BA63D0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8778A52" w14:textId="0B9A0F86" w:rsidR="00BA63D0" w:rsidRPr="00D300E1" w:rsidRDefault="00BA63D0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>UKUPNO RASHODI / IZDACI / POKRIĆE MANJKA</w:t>
      </w:r>
    </w:p>
    <w:p w14:paraId="30522FEB" w14:textId="19D7F39E" w:rsidR="00DE5CE6" w:rsidRPr="00FD2AD6" w:rsidRDefault="00FD2AD6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Pr="002A77E1">
        <w:rPr>
          <w:rFonts w:ascii="Arial" w:eastAsia="Times New Roman" w:hAnsi="Arial" w:cs="Arial"/>
          <w:sz w:val="16"/>
          <w:szCs w:val="16"/>
          <w:lang w:eastAsia="hr-HR"/>
        </w:rPr>
        <w:t xml:space="preserve">            EUR</w:t>
      </w:r>
    </w:p>
    <w:p w14:paraId="2A784BB3" w14:textId="4B175883" w:rsidR="00BA63D0" w:rsidRDefault="00E75244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E75244">
        <w:rPr>
          <w:noProof/>
          <w:lang w:eastAsia="hr-HR"/>
        </w:rPr>
        <w:drawing>
          <wp:inline distT="0" distB="0" distL="0" distR="0" wp14:anchorId="597E54FD" wp14:editId="625B1E21">
            <wp:extent cx="5760720" cy="8056094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8A92C" w14:textId="77777777" w:rsidR="004A0BFF" w:rsidRDefault="004A0BFF" w:rsidP="002A77E1">
      <w:pPr>
        <w:spacing w:after="0" w:line="240" w:lineRule="auto"/>
        <w:ind w:left="7788" w:firstLine="708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3FCC880" w14:textId="12212A19" w:rsidR="00BA63D0" w:rsidRPr="002A77E1" w:rsidRDefault="002A77E1" w:rsidP="002A77E1">
      <w:pPr>
        <w:spacing w:after="0" w:line="240" w:lineRule="auto"/>
        <w:ind w:left="7788" w:firstLine="708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lastRenderedPageBreak/>
        <w:t>EUR</w:t>
      </w:r>
    </w:p>
    <w:p w14:paraId="73A4B25C" w14:textId="66852396" w:rsidR="00BA63D0" w:rsidRDefault="00E75244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E75244">
        <w:rPr>
          <w:noProof/>
          <w:lang w:eastAsia="hr-HR"/>
        </w:rPr>
        <w:drawing>
          <wp:inline distT="0" distB="0" distL="0" distR="0" wp14:anchorId="53F43114" wp14:editId="099D9F0A">
            <wp:extent cx="5760432" cy="87332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02" cy="873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B67CA" w14:textId="784D22F7" w:rsidR="00BA63D0" w:rsidRDefault="00BA63D0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DA9674F" w14:textId="15537D75" w:rsidR="00BA63D0" w:rsidRDefault="00BA63D0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6ECFAA6" w14:textId="77777777" w:rsidR="00BA63D0" w:rsidRDefault="00BA63D0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4E09172" w14:textId="03ED6A63" w:rsidR="00395E6C" w:rsidRPr="00D300E1" w:rsidRDefault="00DE5CE6" w:rsidP="00D300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R</w:t>
      </w:r>
      <w:r w:rsidR="00FB3F00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ASHODI </w:t>
      </w:r>
      <w:r w:rsidR="00360118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>/</w:t>
      </w:r>
      <w:r w:rsidR="00FB3F00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IZDACI</w:t>
      </w:r>
      <w:r w:rsidR="00360118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/ POKRIĆE MANJKA</w:t>
      </w:r>
      <w:r w:rsidR="00FB3F00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– GRAD ZAGREB</w:t>
      </w:r>
    </w:p>
    <w:p w14:paraId="2638A10D" w14:textId="25929BCC" w:rsidR="00C0286B" w:rsidRPr="00360118" w:rsidRDefault="002A77E1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</w:t>
      </w:r>
      <w:r w:rsidR="00CA170F" w:rsidRPr="002A77E1">
        <w:rPr>
          <w:rFonts w:ascii="Arial" w:eastAsia="Times New Roman" w:hAnsi="Arial" w:cs="Arial"/>
          <w:sz w:val="16"/>
          <w:szCs w:val="16"/>
          <w:lang w:eastAsia="hr-HR"/>
        </w:rPr>
        <w:t>EUR</w:t>
      </w:r>
    </w:p>
    <w:p w14:paraId="0EBCB1EA" w14:textId="0AF55367" w:rsidR="00C0286B" w:rsidRPr="001966CA" w:rsidRDefault="00FD2AD6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FD2AD6">
        <w:rPr>
          <w:noProof/>
          <w:lang w:eastAsia="hr-HR"/>
        </w:rPr>
        <w:drawing>
          <wp:inline distT="0" distB="0" distL="0" distR="0" wp14:anchorId="5F88E011" wp14:editId="0294C60D">
            <wp:extent cx="5760312" cy="8012624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41" cy="801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1DD8" w14:textId="77777777" w:rsidR="00FB3F00" w:rsidRPr="001966CA" w:rsidRDefault="00FB3F00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547045A" w14:textId="000BA98F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307EB2B5" w14:textId="5A7490D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79AA492" w14:textId="7777777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52A82E35" w14:textId="7777777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190197CD" w14:textId="7777777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65AA04C5" w14:textId="77777777" w:rsidR="004A0BFF" w:rsidRDefault="004A0BFF" w:rsidP="002A77E1">
      <w:pPr>
        <w:spacing w:after="0" w:line="240" w:lineRule="auto"/>
        <w:ind w:left="8496"/>
        <w:rPr>
          <w:rFonts w:ascii="Arial" w:eastAsia="Times New Roman" w:hAnsi="Arial" w:cs="Arial"/>
          <w:sz w:val="16"/>
          <w:szCs w:val="16"/>
          <w:lang w:eastAsia="hr-HR"/>
        </w:rPr>
      </w:pPr>
    </w:p>
    <w:p w14:paraId="25E74907" w14:textId="6D5EB747" w:rsidR="00360118" w:rsidRDefault="002A77E1" w:rsidP="002A77E1">
      <w:pPr>
        <w:spacing w:after="0" w:line="240" w:lineRule="auto"/>
        <w:ind w:left="8496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2A77E1">
        <w:rPr>
          <w:rFonts w:ascii="Arial" w:eastAsia="Times New Roman" w:hAnsi="Arial" w:cs="Arial"/>
          <w:sz w:val="16"/>
          <w:szCs w:val="16"/>
          <w:lang w:eastAsia="hr-HR"/>
        </w:rPr>
        <w:lastRenderedPageBreak/>
        <w:t>EUR</w:t>
      </w:r>
    </w:p>
    <w:p w14:paraId="34E95235" w14:textId="3EC37D41" w:rsidR="00360118" w:rsidRDefault="00CA170F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CA170F">
        <w:rPr>
          <w:noProof/>
          <w:lang w:eastAsia="hr-HR"/>
        </w:rPr>
        <w:drawing>
          <wp:inline distT="0" distB="0" distL="0" distR="0" wp14:anchorId="0E732762" wp14:editId="0CB6E750">
            <wp:extent cx="5760300" cy="726095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32" cy="726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8BB9" w14:textId="7777777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1143B8F" w14:textId="1CE17C63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03DA077" w14:textId="1739BA9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57419B98" w14:textId="7777777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AFAFB90" w14:textId="7777777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59916926" w14:textId="77777777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3A7BCC98" w14:textId="77777777" w:rsidR="00983BAC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3A64AB60" w14:textId="77777777" w:rsidR="00983BAC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430F58A4" w14:textId="77777777" w:rsidR="00983BAC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3EC87274" w14:textId="77777777" w:rsidR="00983BAC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2ADBB50B" w14:textId="4685DBA6" w:rsidR="00983BAC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1848403B" w14:textId="77777777" w:rsidR="004A0BFF" w:rsidRDefault="004A0BFF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49BD25DC" w14:textId="77777777" w:rsidR="00983BAC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786251F8" w14:textId="19291DE8" w:rsidR="00983BAC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1FFC308" w14:textId="3429A644" w:rsidR="00FB3F00" w:rsidRDefault="00983BAC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 UKUPNO </w:t>
      </w:r>
      <w:r w:rsidR="00FB3F00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</w:t>
      </w: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>/</w:t>
      </w:r>
      <w:r w:rsidR="00FB3F00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IZDACI </w:t>
      </w:r>
      <w:r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/ POKRIĆE MANJKA </w:t>
      </w:r>
      <w:r w:rsidR="00FB3F00" w:rsidRPr="00D300E1">
        <w:rPr>
          <w:rFonts w:ascii="Arial" w:eastAsia="Times New Roman" w:hAnsi="Arial" w:cs="Arial"/>
          <w:b/>
          <w:sz w:val="20"/>
          <w:szCs w:val="20"/>
          <w:lang w:eastAsia="hr-HR"/>
        </w:rPr>
        <w:t>– PRORAČUNSKI KORISNICI</w:t>
      </w:r>
    </w:p>
    <w:p w14:paraId="3CDC461C" w14:textId="77777777" w:rsidR="002A77E1" w:rsidRPr="00D300E1" w:rsidRDefault="002A77E1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C833130" w14:textId="733ADC7D" w:rsidR="00CA170F" w:rsidRPr="002A77E1" w:rsidRDefault="00CA170F" w:rsidP="002A77E1">
      <w:pPr>
        <w:spacing w:after="0" w:line="240" w:lineRule="auto"/>
        <w:ind w:left="8496"/>
        <w:rPr>
          <w:rFonts w:ascii="Arial" w:eastAsia="Times New Roman" w:hAnsi="Arial" w:cs="Arial"/>
          <w:sz w:val="16"/>
          <w:szCs w:val="16"/>
          <w:lang w:eastAsia="hr-HR"/>
        </w:rPr>
      </w:pPr>
      <w:r w:rsidRPr="002A77E1">
        <w:rPr>
          <w:rFonts w:ascii="Arial" w:eastAsia="Times New Roman" w:hAnsi="Arial" w:cs="Arial"/>
          <w:sz w:val="16"/>
          <w:szCs w:val="16"/>
          <w:lang w:eastAsia="hr-HR"/>
        </w:rPr>
        <w:t>EUR</w:t>
      </w:r>
    </w:p>
    <w:p w14:paraId="4BF6421C" w14:textId="4667A781" w:rsidR="00983BAC" w:rsidRDefault="00CA170F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A170F">
        <w:rPr>
          <w:noProof/>
          <w:lang w:eastAsia="hr-HR"/>
        </w:rPr>
        <w:drawing>
          <wp:inline distT="0" distB="0" distL="0" distR="0" wp14:anchorId="78316D44" wp14:editId="293D572A">
            <wp:extent cx="5760341" cy="8338088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510" cy="834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3105A" w14:textId="77777777" w:rsidR="00983BAC" w:rsidRDefault="00983BAC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AA720EB" w14:textId="08799BAE" w:rsidR="00983BAC" w:rsidRDefault="00983BAC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560B59" w14:textId="4BFE2475" w:rsidR="00891B6B" w:rsidRDefault="00891B6B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C96F26" w14:textId="77777777" w:rsidR="00891B6B" w:rsidRDefault="00891B6B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8FF15D1" w14:textId="5B1BA94C" w:rsidR="002A77E1" w:rsidRPr="002A77E1" w:rsidRDefault="002A77E1" w:rsidP="00FB3F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A77E1">
        <w:rPr>
          <w:rFonts w:ascii="Arial" w:eastAsia="Times New Roman" w:hAnsi="Arial" w:cs="Arial"/>
          <w:sz w:val="16"/>
          <w:szCs w:val="16"/>
          <w:lang w:eastAsia="hr-HR"/>
        </w:rPr>
        <w:t>EUR</w:t>
      </w:r>
    </w:p>
    <w:p w14:paraId="6AB920C5" w14:textId="77777777" w:rsidR="00CA170F" w:rsidRDefault="00CA170F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A170F">
        <w:rPr>
          <w:noProof/>
          <w:lang w:eastAsia="hr-HR"/>
        </w:rPr>
        <w:drawing>
          <wp:inline distT="0" distB="0" distL="0" distR="0" wp14:anchorId="46B01D67" wp14:editId="343605BD">
            <wp:extent cx="5760356" cy="642404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93" cy="643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224F" w14:textId="77777777" w:rsidR="00CA170F" w:rsidRDefault="00CA170F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AEB9260" w14:textId="77777777" w:rsidR="002C229F" w:rsidRDefault="002C229F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FCCCADF" w14:textId="13EFA076" w:rsidR="00FB3F00" w:rsidRPr="00425648" w:rsidRDefault="002D4953" w:rsidP="00FB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roračunski korisnici </w:t>
      </w:r>
      <w:r w:rsidRPr="00425648">
        <w:rPr>
          <w:rFonts w:ascii="Arial" w:eastAsia="Times New Roman" w:hAnsi="Arial" w:cs="Arial"/>
          <w:sz w:val="20"/>
          <w:szCs w:val="20"/>
          <w:lang w:eastAsia="hr-HR"/>
        </w:rPr>
        <w:t>su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samostalno u aplikaciju unosili svoje financijske planove</w:t>
      </w:r>
      <w:r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za 202</w:t>
      </w:r>
      <w:r w:rsidR="002E2F79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425648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82918"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te projekcije za 202</w:t>
      </w:r>
      <w:r w:rsidR="002E2F79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682918" w:rsidRPr="00425648">
        <w:rPr>
          <w:rFonts w:ascii="Arial" w:eastAsia="Times New Roman" w:hAnsi="Arial" w:cs="Arial"/>
          <w:sz w:val="20"/>
          <w:szCs w:val="20"/>
          <w:lang w:eastAsia="hr-HR"/>
        </w:rPr>
        <w:t>. i 202</w:t>
      </w:r>
      <w:r w:rsidR="002E2F79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682918" w:rsidRPr="00425648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godinu.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 Odlukom o izvršavanju proračuna Grada Zagreba za 202</w:t>
      </w:r>
      <w:r w:rsidR="002E2F79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>. predviđeno je da se namjenski i vlastiti prihodi što ih ostvare proračunski korisnici ne uplaćuju na račun Proračuna Grada Zagreba.</w:t>
      </w:r>
    </w:p>
    <w:p w14:paraId="7382205C" w14:textId="77777777" w:rsidR="00716C48" w:rsidRDefault="00716C48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672F46A" w14:textId="0CB38492" w:rsidR="00395E6C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Rashodi i izdaci Proračuna Grada Zagreba za 202</w:t>
      </w:r>
      <w:r w:rsidR="002E2F79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425648">
        <w:rPr>
          <w:rFonts w:ascii="Arial" w:eastAsia="Times New Roman" w:hAnsi="Arial" w:cs="Arial"/>
          <w:sz w:val="20"/>
          <w:szCs w:val="20"/>
          <w:lang w:eastAsia="hr-HR"/>
        </w:rPr>
        <w:t>. su:</w:t>
      </w:r>
    </w:p>
    <w:p w14:paraId="5DF19ADF" w14:textId="77777777" w:rsidR="00D73DA2" w:rsidRPr="00425648" w:rsidRDefault="00D73DA2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DB95EA" w14:textId="34373ABF" w:rsidR="00395E6C" w:rsidRPr="00425648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b/>
          <w:sz w:val="20"/>
          <w:szCs w:val="20"/>
          <w:lang w:eastAsia="hr-HR"/>
        </w:rPr>
        <w:t>RASHODI POSLOVANJA</w:t>
      </w:r>
    </w:p>
    <w:p w14:paraId="59131091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rashodi za zaposlene,</w:t>
      </w:r>
    </w:p>
    <w:p w14:paraId="4B6F6D5B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materijalni rashodi,</w:t>
      </w:r>
    </w:p>
    <w:p w14:paraId="0CC31E5E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financijski rashodi,</w:t>
      </w:r>
    </w:p>
    <w:p w14:paraId="3470BB9D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subvencije,</w:t>
      </w:r>
    </w:p>
    <w:p w14:paraId="63DA4A1A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pomoći dane u inozemstvo i unutar općeg proračuna,</w:t>
      </w:r>
    </w:p>
    <w:p w14:paraId="4859C001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naknade građanima i kućanstvima na temelju osiguranja i druge naknade,</w:t>
      </w:r>
    </w:p>
    <w:p w14:paraId="3627CA2B" w14:textId="1DB9EC0F" w:rsidR="00395E6C" w:rsidRDefault="00395E6C" w:rsidP="00CB295F">
      <w:pPr>
        <w:numPr>
          <w:ilvl w:val="0"/>
          <w:numId w:val="7"/>
        </w:numPr>
        <w:spacing w:after="120" w:line="240" w:lineRule="auto"/>
        <w:ind w:left="1497" w:hanging="357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ostali rashodi;</w:t>
      </w:r>
    </w:p>
    <w:p w14:paraId="00A1BA9E" w14:textId="77777777" w:rsidR="00891B6B" w:rsidRPr="00425648" w:rsidRDefault="00891B6B" w:rsidP="00891B6B">
      <w:pPr>
        <w:spacing w:after="120" w:line="240" w:lineRule="auto"/>
        <w:ind w:left="1497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F83AB5D" w14:textId="10ECEBFC" w:rsidR="00395E6C" w:rsidRPr="00425648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RASHODI ZA NABAVU NEFINANCIJSKE IMOVINE</w:t>
      </w:r>
    </w:p>
    <w:p w14:paraId="6951DD28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rashodi za nabavu </w:t>
      </w:r>
      <w:proofErr w:type="spellStart"/>
      <w:r w:rsidRPr="00425648">
        <w:rPr>
          <w:rFonts w:ascii="Arial" w:eastAsia="Times New Roman" w:hAnsi="Arial" w:cs="Arial"/>
          <w:sz w:val="20"/>
          <w:szCs w:val="20"/>
          <w:lang w:eastAsia="hr-HR"/>
        </w:rPr>
        <w:t>neproizvedene</w:t>
      </w:r>
      <w:proofErr w:type="spellEnd"/>
      <w:r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dugotrajne imovine,</w:t>
      </w:r>
    </w:p>
    <w:p w14:paraId="049E4796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rashodi za nabavu proizvedene dugotrajne imovine,</w:t>
      </w:r>
    </w:p>
    <w:p w14:paraId="472D093A" w14:textId="77777777" w:rsidR="00395E6C" w:rsidRPr="00425648" w:rsidRDefault="00395E6C" w:rsidP="00CB295F">
      <w:pPr>
        <w:numPr>
          <w:ilvl w:val="0"/>
          <w:numId w:val="7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rashodi za dodatna ulaganja na nefinancijskoj imovini;</w:t>
      </w:r>
    </w:p>
    <w:p w14:paraId="25C7D7B4" w14:textId="77777777" w:rsidR="00395E6C" w:rsidRPr="00425648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EAAE1DD" w14:textId="3962090E" w:rsidR="00395E6C" w:rsidRPr="00425648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b/>
          <w:sz w:val="20"/>
          <w:szCs w:val="20"/>
          <w:lang w:eastAsia="hr-HR"/>
        </w:rPr>
        <w:t>IZDACI ZA FINANCIJSKU IMOVINU I OTPLATE  ZAJMOVA</w:t>
      </w:r>
    </w:p>
    <w:p w14:paraId="4BF79E7A" w14:textId="77777777" w:rsidR="00D73DA2" w:rsidRDefault="00D73DA2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8DE850" w14:textId="01022FFD" w:rsidR="00395E6C" w:rsidRPr="00425648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sz w:val="20"/>
          <w:szCs w:val="20"/>
          <w:lang w:eastAsia="hr-HR"/>
        </w:rPr>
        <w:t>U nastavku se daje obrazloženje rashoda i izdataka Proračuna Grada Zagreba.</w:t>
      </w:r>
    </w:p>
    <w:p w14:paraId="5816293E" w14:textId="77777777" w:rsidR="00395E6C" w:rsidRPr="00425648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A488A17" w14:textId="17D10A49" w:rsidR="00395E6C" w:rsidRPr="00425648" w:rsidRDefault="001D1EF7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5648">
        <w:rPr>
          <w:rFonts w:ascii="Arial" w:eastAsia="Times New Roman" w:hAnsi="Arial" w:cs="Arial"/>
          <w:b/>
          <w:sz w:val="20"/>
          <w:szCs w:val="20"/>
          <w:lang w:eastAsia="hr-HR"/>
        </w:rPr>
        <w:t>RASHODI POSLOVANJA</w:t>
      </w:r>
      <w:r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>planirani su u iznosu od 1.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681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415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047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16806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račune proračunskih korisnika odnosi 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615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505</w:t>
      </w:r>
      <w:r w:rsidR="00395E6C" w:rsidRPr="00425648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862</w:t>
      </w:r>
      <w:r w:rsidR="00143B5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425648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BE69335" w14:textId="77777777" w:rsidR="00395E6C" w:rsidRPr="00891B6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729A1F5" w14:textId="13272757" w:rsidR="00B0764D" w:rsidRPr="00B0764D" w:rsidRDefault="00395E6C" w:rsidP="00B076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078BD">
        <w:rPr>
          <w:rFonts w:ascii="Arial" w:eastAsia="Times New Roman" w:hAnsi="Arial" w:cs="Arial"/>
          <w:b/>
          <w:sz w:val="20"/>
          <w:szCs w:val="20"/>
          <w:lang w:eastAsia="hr-HR"/>
        </w:rPr>
        <w:t>Rashodi za zaposlene</w:t>
      </w:r>
      <w:r w:rsidRPr="005078BD">
        <w:rPr>
          <w:rFonts w:ascii="Arial" w:eastAsia="Times New Roman" w:hAnsi="Arial" w:cs="Arial"/>
          <w:sz w:val="20"/>
          <w:szCs w:val="20"/>
          <w:lang w:eastAsia="hr-HR"/>
        </w:rPr>
        <w:t xml:space="preserve"> pl</w:t>
      </w:r>
      <w:r w:rsidR="00425648" w:rsidRPr="005078BD">
        <w:rPr>
          <w:rFonts w:ascii="Arial" w:eastAsia="Times New Roman" w:hAnsi="Arial" w:cs="Arial"/>
          <w:sz w:val="20"/>
          <w:szCs w:val="20"/>
          <w:lang w:eastAsia="hr-HR"/>
        </w:rPr>
        <w:t xml:space="preserve">anirani su u ukupnom iznosu od 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736.134.292</w:t>
      </w:r>
      <w:r w:rsidR="00143B5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91B6B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085108">
        <w:rPr>
          <w:rFonts w:ascii="Arial" w:eastAsia="Times New Roman" w:hAnsi="Arial" w:cs="Arial"/>
          <w:sz w:val="20"/>
          <w:szCs w:val="20"/>
          <w:lang w:eastAsia="hr-HR"/>
        </w:rPr>
        <w:t>458.457.602 eura</w:t>
      </w:r>
      <w:r w:rsidRPr="00085108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085108">
        <w:rPr>
          <w:rFonts w:ascii="Arial" w:eastAsia="Times New Roman" w:hAnsi="Arial" w:cs="Arial"/>
          <w:sz w:val="20"/>
          <w:szCs w:val="20"/>
          <w:lang w:eastAsia="hr-HR"/>
        </w:rPr>
        <w:t xml:space="preserve">odnosi na plaće zaposlenih kod proračunskih korisnika kojima se sredstva ne doznačuju iz proračuna Grada Zagreba. </w:t>
      </w:r>
      <w:r w:rsidRPr="00D84D08">
        <w:rPr>
          <w:rFonts w:ascii="Arial" w:eastAsia="Times New Roman" w:hAnsi="Arial" w:cs="Arial"/>
          <w:sz w:val="20"/>
          <w:szCs w:val="20"/>
          <w:lang w:eastAsia="hr-HR"/>
        </w:rPr>
        <w:t xml:space="preserve">Od navedenog najveći dio </w:t>
      </w:r>
      <w:r w:rsidR="00425648" w:rsidRPr="00D84D08">
        <w:rPr>
          <w:rFonts w:ascii="Arial" w:eastAsia="Times New Roman" w:hAnsi="Arial" w:cs="Arial"/>
          <w:sz w:val="20"/>
          <w:szCs w:val="20"/>
          <w:lang w:eastAsia="hr-HR"/>
        </w:rPr>
        <w:t xml:space="preserve">odnosi se na zaposlene u osnovnim i srednjim školama </w:t>
      </w:r>
      <w:r w:rsidR="00085108" w:rsidRPr="00D84D08">
        <w:rPr>
          <w:rFonts w:ascii="Arial" w:eastAsia="Times New Roman" w:hAnsi="Arial" w:cs="Arial"/>
          <w:sz w:val="20"/>
          <w:szCs w:val="20"/>
          <w:lang w:eastAsia="hr-HR"/>
        </w:rPr>
        <w:t xml:space="preserve">te </w:t>
      </w:r>
      <w:r w:rsidRPr="00D84D08">
        <w:rPr>
          <w:rFonts w:ascii="Arial" w:eastAsia="Times New Roman" w:hAnsi="Arial" w:cs="Arial"/>
          <w:sz w:val="20"/>
          <w:szCs w:val="20"/>
          <w:lang w:eastAsia="hr-HR"/>
        </w:rPr>
        <w:t xml:space="preserve">na zaposlene u bolnicama i ostalim zdravstvenim ustanovama za koje se sredstva osiguravaju iz </w:t>
      </w:r>
      <w:r w:rsidR="00085108" w:rsidRPr="00D84D08">
        <w:rPr>
          <w:rFonts w:ascii="Arial" w:eastAsia="Times New Roman" w:hAnsi="Arial" w:cs="Arial"/>
          <w:sz w:val="20"/>
          <w:szCs w:val="20"/>
          <w:lang w:eastAsia="hr-HR"/>
        </w:rPr>
        <w:t xml:space="preserve">državnog proračuna odnosno iz </w:t>
      </w:r>
      <w:r w:rsidRPr="00D84D08">
        <w:rPr>
          <w:rFonts w:ascii="Arial" w:eastAsia="Times New Roman" w:hAnsi="Arial" w:cs="Arial"/>
          <w:sz w:val="20"/>
          <w:szCs w:val="20"/>
          <w:lang w:eastAsia="hr-HR"/>
        </w:rPr>
        <w:t>HZZO-a.</w:t>
      </w:r>
      <w:r w:rsidR="00B0764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0764D" w:rsidRPr="00D36719">
        <w:rPr>
          <w:rFonts w:ascii="Arial" w:eastAsia="Times New Roman" w:hAnsi="Arial" w:cs="Arial"/>
          <w:sz w:val="20"/>
          <w:szCs w:val="20"/>
          <w:lang w:eastAsia="hr-HR"/>
        </w:rPr>
        <w:t>U odnosu na 2022. rashodi za zaposlene kod proračunskih korisnika veći su za 27.866.286 eura.</w:t>
      </w:r>
    </w:p>
    <w:p w14:paraId="3A4A521F" w14:textId="77777777" w:rsidR="00395E6C" w:rsidRPr="009E20DD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03D36BE" w14:textId="17E91024" w:rsidR="00395E6C" w:rsidRPr="00A87680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E20DD">
        <w:rPr>
          <w:rFonts w:ascii="Arial" w:eastAsia="Times New Roman" w:hAnsi="Arial" w:cs="Arial"/>
          <w:b/>
          <w:sz w:val="20"/>
          <w:szCs w:val="20"/>
          <w:lang w:eastAsia="hr-HR"/>
        </w:rPr>
        <w:t>Materijalni rashodi</w:t>
      </w:r>
      <w:r w:rsidRPr="009E20DD">
        <w:rPr>
          <w:rFonts w:ascii="Arial" w:eastAsia="Times New Roman" w:hAnsi="Arial" w:cs="Arial"/>
          <w:sz w:val="20"/>
          <w:szCs w:val="20"/>
          <w:lang w:eastAsia="hr-HR"/>
        </w:rPr>
        <w:t xml:space="preserve"> planirani su u ukupnom iznosu od </w:t>
      </w:r>
      <w:r w:rsidR="009E20DD" w:rsidRPr="009E20DD">
        <w:rPr>
          <w:rFonts w:ascii="Arial" w:eastAsia="Times New Roman" w:hAnsi="Arial" w:cs="Arial"/>
          <w:sz w:val="20"/>
          <w:szCs w:val="20"/>
          <w:lang w:eastAsia="hr-HR"/>
        </w:rPr>
        <w:t>558.576.361 eur</w:t>
      </w:r>
      <w:r w:rsidR="009E20DD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9E20DD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9E20DD" w:rsidRPr="009E20DD">
        <w:rPr>
          <w:rFonts w:ascii="Arial" w:eastAsia="Times New Roman" w:hAnsi="Arial" w:cs="Arial"/>
          <w:sz w:val="20"/>
          <w:szCs w:val="20"/>
          <w:lang w:eastAsia="hr-HR"/>
        </w:rPr>
        <w:t>149.057.701 euro</w:t>
      </w:r>
      <w:r w:rsidRPr="009E20DD">
        <w:rPr>
          <w:rFonts w:ascii="Arial" w:eastAsia="Times New Roman" w:hAnsi="Arial" w:cs="Arial"/>
          <w:sz w:val="20"/>
          <w:szCs w:val="20"/>
          <w:lang w:eastAsia="hr-HR"/>
        </w:rPr>
        <w:t xml:space="preserve"> odnosi na materijalne rashode koji se financiraju iz vlastitih i namjenskih sredstava proračunskih korisnika</w:t>
      </w:r>
      <w:r w:rsidR="008A1CE7" w:rsidRPr="009E20D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9E20DD">
        <w:rPr>
          <w:rFonts w:ascii="Arial" w:eastAsia="Times New Roman" w:hAnsi="Arial" w:cs="Arial"/>
          <w:sz w:val="20"/>
          <w:szCs w:val="20"/>
          <w:lang w:eastAsia="hr-HR"/>
        </w:rPr>
        <w:t xml:space="preserve"> a </w:t>
      </w:r>
      <w:r w:rsidR="009E20DD" w:rsidRPr="009E20DD">
        <w:rPr>
          <w:rFonts w:ascii="Arial" w:eastAsia="Times New Roman" w:hAnsi="Arial" w:cs="Arial"/>
          <w:sz w:val="20"/>
          <w:szCs w:val="20"/>
          <w:lang w:eastAsia="hr-HR"/>
        </w:rPr>
        <w:t>409.518.660</w:t>
      </w:r>
      <w:r w:rsidRPr="009E20D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E20DD" w:rsidRPr="009E20DD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9E20DD">
        <w:rPr>
          <w:rFonts w:ascii="Arial" w:eastAsia="Times New Roman" w:hAnsi="Arial" w:cs="Arial"/>
          <w:sz w:val="20"/>
          <w:szCs w:val="20"/>
          <w:lang w:eastAsia="hr-HR"/>
        </w:rPr>
        <w:t xml:space="preserve"> na materijalne rashode koji se financiraju iz proračunskih sredstava. </w:t>
      </w:r>
      <w:r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Od materijalnih rashoda koji se financiraju iz proračunskih sredstava 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>najveći dio s</w:t>
      </w:r>
      <w:r w:rsidRPr="00A87680">
        <w:rPr>
          <w:rFonts w:ascii="Arial" w:eastAsia="Times New Roman" w:hAnsi="Arial" w:cs="Arial"/>
          <w:sz w:val="20"/>
          <w:szCs w:val="20"/>
          <w:lang w:eastAsia="hr-HR"/>
        </w:rPr>
        <w:t>e odnosi na tekuće i investicijsko održavanje komunalne infrastrukture kao i objekata Grada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 za što se planiraju sredstva u iznosu od 189.075.210 eura</w:t>
      </w:r>
      <w:r w:rsidRPr="00A876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D84D08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Od materijalnih rashoda koji se financiraju iz vlastitih i namjenskih sredstava proračunskih korisnika najveći dio u iznosu od 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79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516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626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 se odnosi na </w:t>
      </w:r>
      <w:r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materijal i 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 energiju dok se 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18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024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376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87680" w:rsidRPr="00A87680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FC27AE" w:rsidRPr="00A87680">
        <w:rPr>
          <w:rFonts w:ascii="Arial" w:eastAsia="Times New Roman" w:hAnsi="Arial" w:cs="Arial"/>
          <w:sz w:val="20"/>
          <w:szCs w:val="20"/>
          <w:lang w:eastAsia="hr-HR"/>
        </w:rPr>
        <w:t xml:space="preserve"> odnosi na rashode za usluge tekućeg i investicijskog održavanja</w:t>
      </w:r>
      <w:r w:rsidRPr="00A87680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769FBCD" w14:textId="77777777" w:rsidR="00395E6C" w:rsidRPr="0006762D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EDCD14" w14:textId="6070C49F" w:rsidR="00395E6C" w:rsidRPr="0006762D" w:rsidRDefault="00395E6C" w:rsidP="00395E6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6762D">
        <w:rPr>
          <w:rFonts w:ascii="Arial" w:eastAsia="Times New Roman" w:hAnsi="Arial" w:cs="Arial"/>
          <w:b/>
          <w:sz w:val="20"/>
          <w:szCs w:val="20"/>
          <w:lang w:eastAsia="hr-HR"/>
        </w:rPr>
        <w:t>Financijski rashodi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 xml:space="preserve"> planirani su u ukupnom iznosu od </w:t>
      </w:r>
      <w:r w:rsidR="0006762D" w:rsidRPr="0006762D">
        <w:rPr>
          <w:rFonts w:ascii="Arial" w:eastAsia="Times New Roman" w:hAnsi="Arial" w:cs="Arial"/>
          <w:sz w:val="20"/>
          <w:szCs w:val="20"/>
          <w:lang w:eastAsia="hr-HR"/>
        </w:rPr>
        <w:t>12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6762D" w:rsidRPr="0006762D">
        <w:rPr>
          <w:rFonts w:ascii="Arial" w:eastAsia="Times New Roman" w:hAnsi="Arial" w:cs="Arial"/>
          <w:sz w:val="20"/>
          <w:szCs w:val="20"/>
          <w:lang w:eastAsia="hr-HR"/>
        </w:rPr>
        <w:t>235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6762D" w:rsidRPr="0006762D">
        <w:rPr>
          <w:rFonts w:ascii="Arial" w:eastAsia="Times New Roman" w:hAnsi="Arial" w:cs="Arial"/>
          <w:sz w:val="20"/>
          <w:szCs w:val="20"/>
          <w:lang w:eastAsia="hr-HR"/>
        </w:rPr>
        <w:t>691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91B6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 xml:space="preserve"> od </w:t>
      </w:r>
      <w:r w:rsidR="00891B6B">
        <w:rPr>
          <w:rFonts w:ascii="Arial" w:eastAsia="Times New Roman" w:hAnsi="Arial" w:cs="Arial"/>
          <w:sz w:val="20"/>
          <w:szCs w:val="20"/>
          <w:lang w:eastAsia="hr-HR"/>
        </w:rPr>
        <w:t>čega se na financijske rashode G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 xml:space="preserve">rada odnosi </w:t>
      </w:r>
      <w:r w:rsidR="0006762D" w:rsidRPr="0006762D"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6762D" w:rsidRPr="0006762D">
        <w:rPr>
          <w:rFonts w:ascii="Arial" w:eastAsia="Times New Roman" w:hAnsi="Arial" w:cs="Arial"/>
          <w:sz w:val="20"/>
          <w:szCs w:val="20"/>
          <w:lang w:eastAsia="hr-HR"/>
        </w:rPr>
        <w:t>565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C27AE" w:rsidRPr="0006762D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06762D" w:rsidRPr="0006762D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 xml:space="preserve">0 </w:t>
      </w:r>
      <w:r w:rsidR="00B71841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6762D">
        <w:rPr>
          <w:rFonts w:ascii="Arial" w:eastAsia="Times New Roman" w:hAnsi="Arial" w:cs="Arial"/>
          <w:sz w:val="20"/>
          <w:szCs w:val="20"/>
          <w:lang w:eastAsia="hr-HR"/>
        </w:rPr>
        <w:t>. Obuhvaćaju otplatu kamata za primljene kredite i zajmove, sredstva za bankarske usluge i usluge platnog prometa, zatezne kamate, negativne tečajne razlike i ostale nespomenute financijske rashode.</w:t>
      </w:r>
    </w:p>
    <w:p w14:paraId="18E1376F" w14:textId="77777777" w:rsidR="00395E6C" w:rsidRPr="00D84D08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3185586" w14:textId="7CF48094" w:rsidR="00395E6C" w:rsidRPr="00B71841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71841">
        <w:rPr>
          <w:rFonts w:ascii="Arial" w:eastAsia="Times New Roman" w:hAnsi="Arial" w:cs="Arial"/>
          <w:b/>
          <w:sz w:val="20"/>
          <w:szCs w:val="20"/>
          <w:lang w:eastAsia="hr-HR"/>
        </w:rPr>
        <w:t>Subvencije</w:t>
      </w:r>
      <w:r w:rsidRPr="00B71841">
        <w:rPr>
          <w:rFonts w:ascii="Arial" w:eastAsia="Times New Roman" w:hAnsi="Arial" w:cs="Arial"/>
          <w:sz w:val="20"/>
          <w:szCs w:val="20"/>
          <w:lang w:eastAsia="hr-HR"/>
        </w:rPr>
        <w:t xml:space="preserve"> su planirane u ukupnom iznosu od </w:t>
      </w:r>
      <w:r w:rsidR="00B71841" w:rsidRPr="00B71841">
        <w:rPr>
          <w:rFonts w:ascii="Arial" w:eastAsia="Times New Roman" w:hAnsi="Arial" w:cs="Arial"/>
          <w:sz w:val="20"/>
          <w:szCs w:val="20"/>
          <w:lang w:eastAsia="hr-HR"/>
        </w:rPr>
        <w:t>132.862</w:t>
      </w:r>
      <w:r w:rsidRPr="00B71841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9F29BD" w:rsidRPr="00B71841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B71841" w:rsidRPr="00B71841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Pr="00B7184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71841" w:rsidRPr="00B71841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B71841">
        <w:rPr>
          <w:rFonts w:ascii="Arial" w:eastAsia="Times New Roman" w:hAnsi="Arial" w:cs="Arial"/>
          <w:sz w:val="20"/>
          <w:szCs w:val="20"/>
          <w:lang w:eastAsia="hr-HR"/>
        </w:rPr>
        <w:t xml:space="preserve"> i </w:t>
      </w:r>
      <w:r w:rsidR="00B71841" w:rsidRPr="00B71841">
        <w:rPr>
          <w:rFonts w:ascii="Arial" w:eastAsia="Times New Roman" w:hAnsi="Arial" w:cs="Arial"/>
          <w:sz w:val="20"/>
          <w:szCs w:val="20"/>
          <w:lang w:eastAsia="hr-HR"/>
        </w:rPr>
        <w:t xml:space="preserve">gotovo </w:t>
      </w:r>
      <w:r w:rsidRPr="00B71841">
        <w:rPr>
          <w:rFonts w:ascii="Arial" w:eastAsia="Times New Roman" w:hAnsi="Arial" w:cs="Arial"/>
          <w:sz w:val="20"/>
          <w:szCs w:val="20"/>
          <w:lang w:eastAsia="hr-HR"/>
        </w:rPr>
        <w:t>u cijelosti se odnos</w:t>
      </w:r>
      <w:r w:rsidR="006758CB" w:rsidRPr="00B71841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B71841">
        <w:rPr>
          <w:rFonts w:ascii="Arial" w:eastAsia="Times New Roman" w:hAnsi="Arial" w:cs="Arial"/>
          <w:sz w:val="20"/>
          <w:szCs w:val="20"/>
          <w:lang w:eastAsia="hr-HR"/>
        </w:rPr>
        <w:t xml:space="preserve"> na sredstva financirana iz proračuna Grada. Obuhvaćaju subvencije trgovačkim društvima u javnom sektoru te subvencije trgovačkim društvima, poljoprivrednicima i obrtnicima izvan javnog sektora. Najveći se dio subvencija planira za javni gradski prijevoz ZET-a, za Zagrebački inovacijski centar d.o.o. i potpore poduzetnicima, za poticanje manifestacija u funkciji razvoja gospodarstva Grada, zakupninu za polivalentnu dvoranu Arena te zapošljavanje osoba s invaliditetom. </w:t>
      </w:r>
    </w:p>
    <w:p w14:paraId="2795B200" w14:textId="77777777" w:rsidR="009F29BD" w:rsidRPr="00B71841" w:rsidRDefault="009F29BD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4DA65F2" w14:textId="1ED6F76F" w:rsidR="00395E6C" w:rsidRPr="005C14A6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C14A6">
        <w:rPr>
          <w:rFonts w:ascii="Arial" w:eastAsia="Times New Roman" w:hAnsi="Arial" w:cs="Arial"/>
          <w:b/>
          <w:sz w:val="20"/>
          <w:szCs w:val="20"/>
          <w:lang w:eastAsia="hr-HR"/>
        </w:rPr>
        <w:t>Pomoći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su planirane u iznosu od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34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806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385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33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380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085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 Grada</w:t>
      </w:r>
      <w:r w:rsidR="00E4432C"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Najznačajniji iznos pomoći u visini od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21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236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.000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planira se za Fond za obnovu Grada Zagreba, Krapinsko-zagorske županije i Zagrebačke županije</w:t>
      </w:r>
      <w:r w:rsidR="004F5244"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te z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a Hrvatsko narodno kazalište u Zagrebu u visini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od 7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354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00 </w:t>
      </w:r>
      <w:r w:rsidR="005C14A6" w:rsidRPr="005C14A6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5C14A6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3985B461" w14:textId="77777777" w:rsidR="00395E6C" w:rsidRPr="00D84D08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hr-HR"/>
        </w:rPr>
      </w:pPr>
    </w:p>
    <w:p w14:paraId="5965C14E" w14:textId="1D472A51" w:rsidR="00E03953" w:rsidRPr="0015584C" w:rsidRDefault="00395E6C" w:rsidP="00E039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5584C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Naknade građanima i kućanstvima 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>planiraju se u ukupnom iznosu</w:t>
      </w:r>
      <w:r w:rsidRPr="0015584C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 xml:space="preserve">od 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99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061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688</w:t>
      </w:r>
      <w:r w:rsidR="00143B5C" w:rsidRPr="0015584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>, a gotovo u c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>jel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osti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 xml:space="preserve"> se odnose na isplate iz samog proračuna Grada (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97.305.830 eura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>). U ovoj skupini rashoda planirana su sredstva za naknade za roditelje odgojitelje</w:t>
      </w:r>
      <w:r w:rsidR="0015584C" w:rsidRPr="0015584C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15584C">
        <w:rPr>
          <w:rFonts w:ascii="Arial" w:eastAsia="Times New Roman" w:hAnsi="Arial" w:cs="Arial"/>
          <w:sz w:val="20"/>
          <w:szCs w:val="20"/>
          <w:lang w:eastAsia="hr-HR"/>
        </w:rPr>
        <w:t xml:space="preserve"> dodatak uz mirovinu, pomoć kućanstvima za troškove stanovanja, novčanu pomoć za novorođenčad, za učenički i studentski standard te potpore djeci nestalih i poginulih branitelja, za stipendije te za ostale naknade.</w:t>
      </w:r>
      <w:r w:rsidR="00E03953" w:rsidRPr="0015584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FB5C5E6" w14:textId="77777777" w:rsidR="00395E6C" w:rsidRPr="00D84D08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B75C5FE" w14:textId="12FE7BE6" w:rsidR="00395E6C" w:rsidRPr="00322281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22281">
        <w:rPr>
          <w:rFonts w:ascii="Arial" w:eastAsia="Times New Roman" w:hAnsi="Arial" w:cs="Arial"/>
          <w:b/>
          <w:sz w:val="20"/>
          <w:szCs w:val="20"/>
          <w:lang w:eastAsia="hr-HR"/>
        </w:rPr>
        <w:t>Ostali rashodi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 xml:space="preserve"> u ukupnom iznosu od 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107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738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130 eura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 xml:space="preserve"> obuhvaćaju tekuće i kapitalne donacije, kazne, penale, naknade šteta i kapitalne pomoći, a na isplate iz proračuna Grada odnosi se 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105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580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 xml:space="preserve">00 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>. Na tekuće donacije u novcu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 xml:space="preserve"> iz proračuna Grada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 xml:space="preserve"> ukupno se odnosi 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49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148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800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22281" w:rsidRPr="00322281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322281">
        <w:rPr>
          <w:rFonts w:ascii="Arial" w:eastAsia="Times New Roman" w:hAnsi="Arial" w:cs="Arial"/>
          <w:sz w:val="20"/>
          <w:szCs w:val="20"/>
          <w:lang w:eastAsia="hr-HR"/>
        </w:rPr>
        <w:t xml:space="preserve"> od čega je najznačajnije sufinanciranje programa sporta, vjerski i privatni vrtići, nezavisna produkcija u kulturi, Vatrogasna zajednica Grada Zagreba te Gradsko društvo Crvenog križa Zagreb.</w:t>
      </w:r>
    </w:p>
    <w:p w14:paraId="5DA41AB0" w14:textId="7D26998A" w:rsidR="00395E6C" w:rsidRPr="0090638D" w:rsidRDefault="00322281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0638D">
        <w:rPr>
          <w:rFonts w:ascii="Arial" w:eastAsia="Times New Roman" w:hAnsi="Arial" w:cs="Arial"/>
          <w:sz w:val="20"/>
          <w:szCs w:val="20"/>
          <w:lang w:eastAsia="hr-HR"/>
        </w:rPr>
        <w:t>Kapitalne pomoći iz proračuna Grada u iznosu od 42.561.300 eura s</w:t>
      </w:r>
      <w:r w:rsidR="00395E6C"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e 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>najvećim dijelom</w:t>
      </w:r>
      <w:r w:rsidR="00334A7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 u iznosu od 31.772.800 eura</w:t>
      </w:r>
      <w:r w:rsidR="00334A7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odnose na 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pročišćavanje otpadnih voda, </w:t>
      </w:r>
      <w:r w:rsidR="0090638D" w:rsidRPr="0090638D">
        <w:rPr>
          <w:rFonts w:ascii="Arial" w:eastAsia="Times New Roman" w:hAnsi="Arial" w:cs="Arial"/>
          <w:sz w:val="20"/>
          <w:szCs w:val="20"/>
          <w:lang w:eastAsia="hr-HR"/>
        </w:rPr>
        <w:t>na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obnovu voznog parka Zagrebačkog električnog tramvaja u iznosu od 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395E6C" w:rsidRPr="0090638D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>145</w:t>
      </w:r>
      <w:r w:rsidR="00395E6C"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.000 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 te na Centar za gospodarenje otpadom u iznosu od </w:t>
      </w:r>
      <w:r w:rsidRPr="0090638D">
        <w:rPr>
          <w:rFonts w:ascii="Arial" w:eastAsia="Times New Roman" w:hAnsi="Arial" w:cs="Arial"/>
          <w:sz w:val="20"/>
          <w:szCs w:val="20"/>
          <w:lang w:eastAsia="hr-HR"/>
        </w:rPr>
        <w:t>5.312.100</w:t>
      </w:r>
      <w:r w:rsidR="00395E6C" w:rsidRPr="0090638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0638D" w:rsidRPr="0090638D">
        <w:rPr>
          <w:rFonts w:ascii="Arial" w:eastAsia="Times New Roman" w:hAnsi="Arial" w:cs="Arial"/>
          <w:sz w:val="20"/>
          <w:szCs w:val="20"/>
          <w:lang w:eastAsia="hr-HR"/>
        </w:rPr>
        <w:t>eura.</w:t>
      </w:r>
    </w:p>
    <w:p w14:paraId="7BA0B297" w14:textId="77777777" w:rsidR="00395E6C" w:rsidRPr="00D84D08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EF05732" w14:textId="2B333B8A" w:rsidR="00395E6C" w:rsidRPr="00BC5267" w:rsidRDefault="001D1EF7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C526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NABAVU NEFINANCIJSKE IMOVINE </w:t>
      </w:r>
      <w:r w:rsidR="00395E6C" w:rsidRPr="00BC5267">
        <w:rPr>
          <w:rFonts w:ascii="Arial" w:eastAsia="Times New Roman" w:hAnsi="Arial" w:cs="Arial"/>
          <w:sz w:val="20"/>
          <w:szCs w:val="20"/>
          <w:lang w:eastAsia="hr-HR"/>
        </w:rPr>
        <w:t xml:space="preserve">planirani su u ukupnom iznosu od </w:t>
      </w:r>
      <w:r w:rsidR="00D54310" w:rsidRPr="00BC5267">
        <w:rPr>
          <w:rFonts w:ascii="Arial" w:eastAsia="Times New Roman" w:hAnsi="Arial" w:cs="Arial"/>
          <w:sz w:val="20"/>
          <w:szCs w:val="20"/>
          <w:lang w:eastAsia="hr-HR"/>
        </w:rPr>
        <w:t>337.129.423 eura</w:t>
      </w:r>
      <w:r w:rsidR="00395E6C" w:rsidRPr="00BC5267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D54310" w:rsidRPr="00BC5267">
        <w:rPr>
          <w:rFonts w:ascii="Arial" w:eastAsia="Times New Roman" w:hAnsi="Arial" w:cs="Arial"/>
          <w:sz w:val="20"/>
          <w:szCs w:val="20"/>
          <w:lang w:eastAsia="hr-HR"/>
        </w:rPr>
        <w:t>231.813.920 eura</w:t>
      </w:r>
      <w:r w:rsidR="00395E6C" w:rsidRPr="00BC5267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 Grada dok se </w:t>
      </w:r>
      <w:r w:rsidR="00D54310" w:rsidRPr="00BC5267">
        <w:rPr>
          <w:rFonts w:ascii="Arial" w:eastAsia="Times New Roman" w:hAnsi="Arial" w:cs="Arial"/>
          <w:sz w:val="20"/>
          <w:szCs w:val="20"/>
          <w:lang w:eastAsia="hr-HR"/>
        </w:rPr>
        <w:t>105</w:t>
      </w:r>
      <w:r w:rsidR="00395E6C" w:rsidRPr="00BC526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54310" w:rsidRPr="00BC5267">
        <w:rPr>
          <w:rFonts w:ascii="Arial" w:eastAsia="Times New Roman" w:hAnsi="Arial" w:cs="Arial"/>
          <w:sz w:val="20"/>
          <w:szCs w:val="20"/>
          <w:lang w:eastAsia="hr-HR"/>
        </w:rPr>
        <w:t>315</w:t>
      </w:r>
      <w:r w:rsidR="00395E6C" w:rsidRPr="00BC526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54310" w:rsidRPr="00BC5267">
        <w:rPr>
          <w:rFonts w:ascii="Arial" w:eastAsia="Times New Roman" w:hAnsi="Arial" w:cs="Arial"/>
          <w:sz w:val="20"/>
          <w:szCs w:val="20"/>
          <w:lang w:eastAsia="hr-HR"/>
        </w:rPr>
        <w:t>503 eura</w:t>
      </w:r>
      <w:r w:rsidR="00395E6C" w:rsidRPr="00BC5267">
        <w:rPr>
          <w:rFonts w:ascii="Arial" w:eastAsia="Times New Roman" w:hAnsi="Arial" w:cs="Arial"/>
          <w:sz w:val="20"/>
          <w:szCs w:val="20"/>
          <w:lang w:eastAsia="hr-HR"/>
        </w:rPr>
        <w:t xml:space="preserve"> odnosi na </w:t>
      </w:r>
      <w:r w:rsidR="00395E6C" w:rsidRPr="00BC5267"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proračunske korisnike. </w:t>
      </w:r>
      <w:r w:rsidR="00BC5267" w:rsidRPr="00BC5267">
        <w:rPr>
          <w:rFonts w:ascii="Arial" w:eastAsia="Times New Roman" w:hAnsi="Arial" w:cs="Arial"/>
          <w:sz w:val="20"/>
          <w:szCs w:val="20"/>
          <w:lang w:eastAsia="hr-HR"/>
        </w:rPr>
        <w:t>Kapitalna ulaganja koja se iskazuju ovim razredom ekonomske klasifikacije su u 2023. za 120.713.457 eura veća u odnosu na 2022. godinu.</w:t>
      </w:r>
    </w:p>
    <w:p w14:paraId="454DFB3F" w14:textId="77777777" w:rsidR="00395E6C" w:rsidRPr="00BC5267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AC70CF" w14:textId="6C28341B" w:rsidR="00395E6C" w:rsidRPr="005F58C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F58CB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nabavu </w:t>
      </w:r>
      <w:proofErr w:type="spellStart"/>
      <w:r w:rsidRPr="005F58CB">
        <w:rPr>
          <w:rFonts w:ascii="Arial" w:eastAsia="Times New Roman" w:hAnsi="Arial" w:cs="Arial"/>
          <w:b/>
          <w:sz w:val="20"/>
          <w:szCs w:val="20"/>
          <w:lang w:eastAsia="hr-HR"/>
        </w:rPr>
        <w:t>neproizvedene</w:t>
      </w:r>
      <w:proofErr w:type="spellEnd"/>
      <w:r w:rsidRPr="005F58CB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dugotrajne imovine 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 xml:space="preserve">su ulaganja nastala u postupku stjecanja nefinancijske imovine i klasificiraju se prema njezinim pojavnim oblicima. Za ove rashode planirano je ukupno </w:t>
      </w:r>
      <w:r w:rsidR="005F58CB" w:rsidRPr="005F58CB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F58CB" w:rsidRPr="005F58CB">
        <w:rPr>
          <w:rFonts w:ascii="Arial" w:eastAsia="Times New Roman" w:hAnsi="Arial" w:cs="Arial"/>
          <w:sz w:val="20"/>
          <w:szCs w:val="20"/>
          <w:lang w:eastAsia="hr-HR"/>
        </w:rPr>
        <w:t>514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F58CB" w:rsidRPr="005F58CB">
        <w:rPr>
          <w:rFonts w:ascii="Arial" w:eastAsia="Times New Roman" w:hAnsi="Arial" w:cs="Arial"/>
          <w:sz w:val="20"/>
          <w:szCs w:val="20"/>
          <w:lang w:eastAsia="hr-HR"/>
        </w:rPr>
        <w:t>238 eura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5F58CB" w:rsidRPr="005F58CB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F58CB" w:rsidRPr="005F58CB">
        <w:rPr>
          <w:rFonts w:ascii="Arial" w:eastAsia="Times New Roman" w:hAnsi="Arial" w:cs="Arial"/>
          <w:sz w:val="20"/>
          <w:szCs w:val="20"/>
          <w:lang w:eastAsia="hr-HR"/>
        </w:rPr>
        <w:t>144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F58CB" w:rsidRPr="005F58CB">
        <w:rPr>
          <w:rFonts w:ascii="Arial" w:eastAsia="Times New Roman" w:hAnsi="Arial" w:cs="Arial"/>
          <w:sz w:val="20"/>
          <w:szCs w:val="20"/>
          <w:lang w:eastAsia="hr-HR"/>
        </w:rPr>
        <w:t>630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F58CB" w:rsidRPr="005F58C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5F58CB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 Grada.              .</w:t>
      </w:r>
    </w:p>
    <w:p w14:paraId="017095A3" w14:textId="77777777" w:rsidR="00395E6C" w:rsidRPr="006243EF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72938EC" w14:textId="762A29C9" w:rsidR="00395E6C" w:rsidRPr="006243EF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243EF">
        <w:rPr>
          <w:rFonts w:ascii="Arial" w:eastAsia="Times New Roman" w:hAnsi="Arial" w:cs="Arial"/>
          <w:b/>
          <w:sz w:val="20"/>
          <w:szCs w:val="20"/>
          <w:lang w:eastAsia="hr-HR"/>
        </w:rPr>
        <w:t>Rashodi za nabavu proizvedene dugotrajne imovine</w:t>
      </w:r>
      <w:r w:rsidR="00D61D5E"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u iznosu od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223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020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775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obuhvaćaju ulaganja u stambene i poslovne objekte, ceste, željeznice, plinovod, vodovod i kanalizaciju, ostale građevinske objekte, postrojenja i opremu, prijevozna sredstva, knjige, umjetnička djela, ostale izložbene vrijednosti te nematerijalnu proizvedenu imovinu. Od navedenog iznosa na korisnike se odnosi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82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947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795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20D4C"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Kapitaln</w:t>
      </w:r>
      <w:r w:rsidR="00820D4C" w:rsidRPr="006243EF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ulaganja iz proračuna Grada realizirat će se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najvećim dijelom 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putem Gradskog ureda za </w:t>
      </w:r>
      <w:r w:rsidR="00820D4C" w:rsidRPr="006243EF">
        <w:rPr>
          <w:rFonts w:ascii="Arial" w:eastAsia="Times New Roman" w:hAnsi="Arial" w:cs="Arial"/>
          <w:sz w:val="20"/>
          <w:szCs w:val="20"/>
          <w:lang w:eastAsia="hr-HR"/>
        </w:rPr>
        <w:t>obnovu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, izgradnju,</w:t>
      </w:r>
      <w:r w:rsidR="00820D4C"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prostorno uređenje</w:t>
      </w:r>
      <w:r w:rsidR="00002A13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820D4C"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graditeljstvo, komunalne poslove i promet, a prema Programu radova kapitalnih ulaganja u objekte za društvene djelatnosti </w:t>
      </w:r>
      <w:r w:rsidR="00FA584C"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i za obnovu objekata oštećenih potresom u Gradu Zagrebu </w:t>
      </w:r>
      <w:r w:rsidR="0051620D" w:rsidRPr="006243EF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. i Programu radova na području prometa i komunalnog gospodarstva </w:t>
      </w:r>
      <w:r w:rsidR="00246AA6"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u Gradu Zagrebu u 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6379A41A" w14:textId="77777777" w:rsidR="00F43C86" w:rsidRPr="00D84D08" w:rsidRDefault="00F43C86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C99741A" w14:textId="2BB129FD" w:rsidR="00395E6C" w:rsidRPr="006243EF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243E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dodatna ulaganja na nefinancijskoj imovini 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su ulaganja kojima se produžuje vijek upotrebe, povećava kapacitet, mijenja namjena ili znatno poboljšavaju funkcionalna svojstva nefinancijske imovine, a iznose ukupno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109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594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11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0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proračunske korisnike odnosi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21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998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00 </w:t>
      </w:r>
      <w:r w:rsidR="006243EF" w:rsidRPr="006243EF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6243EF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3607F08C" w14:textId="77777777" w:rsidR="003D416E" w:rsidRPr="00D84D08" w:rsidRDefault="003D416E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0E53E07" w14:textId="78969640" w:rsidR="00EB37E6" w:rsidRDefault="00395E6C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764BF">
        <w:rPr>
          <w:rFonts w:ascii="Arial" w:eastAsia="Times New Roman" w:hAnsi="Arial" w:cs="Arial"/>
          <w:b/>
          <w:sz w:val="20"/>
          <w:szCs w:val="20"/>
          <w:lang w:eastAsia="hr-HR"/>
        </w:rPr>
        <w:t>IZDACI ZA FINANC</w:t>
      </w:r>
      <w:r w:rsidR="00D73DA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IJSKU IMOVINU I OTPLATE ZAJMOVA 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iznose ukupno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146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768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930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što je za 80.037.096 eura manje nego u 2022. 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>Od navedenog iznosa u Gradskom uredu za financije</w:t>
      </w:r>
      <w:r w:rsidR="00C011F2"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i javnu nabavu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za otplatu primljenih kredita planirana su sredstva u iznosu od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79</w:t>
      </w:r>
      <w:r w:rsidR="000A1DFC" w:rsidRPr="00123A7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147</w:t>
      </w:r>
      <w:r w:rsidR="000A1DFC" w:rsidRPr="00123A70">
        <w:rPr>
          <w:rFonts w:ascii="Arial" w:eastAsia="Times New Roman" w:hAnsi="Arial" w:cs="Arial"/>
          <w:sz w:val="20"/>
          <w:szCs w:val="20"/>
          <w:lang w:eastAsia="hr-HR"/>
        </w:rPr>
        <w:t>.000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A1DFC" w:rsidRPr="00123A70">
        <w:rPr>
          <w:rFonts w:ascii="Arial" w:eastAsia="Times New Roman" w:hAnsi="Arial" w:cs="Arial"/>
          <w:sz w:val="20"/>
          <w:szCs w:val="20"/>
          <w:lang w:eastAsia="hr-HR"/>
        </w:rPr>
        <w:t>od čega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818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>.000 za otplatu beskamatne kratkoročne pozajmice dr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žavi koju je Grad dobio u 2020.</w:t>
      </w:r>
      <w:r w:rsidR="000A1DFC"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0A1DFC"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0.000.000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0A1DFC"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za povrat </w:t>
      </w:r>
      <w:r w:rsidR="000A1DFC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kratkoročne pozajmice </w:t>
      </w:r>
      <w:r w:rsidR="00123A70" w:rsidRPr="00373AD7">
        <w:rPr>
          <w:rFonts w:ascii="Arial" w:eastAsia="Times New Roman" w:hAnsi="Arial" w:cs="Arial"/>
          <w:sz w:val="20"/>
          <w:szCs w:val="20"/>
          <w:lang w:eastAsia="hr-HR"/>
        </w:rPr>
        <w:t>od Europske banke za obnovu i razvoj</w:t>
      </w:r>
      <w:r w:rsidR="000A1DFC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, dok se preostali iznos 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na </w:t>
      </w:r>
      <w:r w:rsidR="00334A7D">
        <w:rPr>
          <w:rFonts w:ascii="Arial" w:eastAsia="Times New Roman" w:hAnsi="Arial" w:cs="Arial"/>
          <w:sz w:val="20"/>
          <w:szCs w:val="20"/>
          <w:lang w:eastAsia="hr-HR"/>
        </w:rPr>
        <w:t>ovom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 uredu </w:t>
      </w:r>
      <w:r w:rsidR="000A1DFC" w:rsidRPr="00373AD7">
        <w:rPr>
          <w:rFonts w:ascii="Arial" w:eastAsia="Times New Roman" w:hAnsi="Arial" w:cs="Arial"/>
          <w:sz w:val="20"/>
          <w:szCs w:val="20"/>
          <w:lang w:eastAsia="hr-HR"/>
        </w:rPr>
        <w:t>odnosi na redovite otplate glavnice po dugoročnim investicijskim kreditima Grada.</w:t>
      </w:r>
      <w:r w:rsidR="00D82434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>N</w:t>
      </w:r>
      <w:r w:rsidRPr="00373AD7">
        <w:rPr>
          <w:rFonts w:ascii="Arial" w:eastAsia="Times New Roman" w:hAnsi="Arial" w:cs="Arial"/>
          <w:sz w:val="20"/>
          <w:szCs w:val="20"/>
          <w:lang w:eastAsia="hr-HR"/>
        </w:rPr>
        <w:t>a Gradskom uredu za mjesnu samoupravu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, civilnu zaštitu i sigurnost se planiraju sredstva u iznosu od </w:t>
      </w:r>
      <w:r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73AD7" w:rsidRPr="00373AD7">
        <w:rPr>
          <w:rFonts w:ascii="Arial" w:eastAsia="Times New Roman" w:hAnsi="Arial" w:cs="Arial"/>
          <w:sz w:val="20"/>
          <w:szCs w:val="20"/>
          <w:lang w:eastAsia="hr-HR"/>
        </w:rPr>
        <w:t>13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73AD7" w:rsidRPr="00373AD7">
        <w:rPr>
          <w:rFonts w:ascii="Arial" w:eastAsia="Times New Roman" w:hAnsi="Arial" w:cs="Arial"/>
          <w:sz w:val="20"/>
          <w:szCs w:val="20"/>
          <w:lang w:eastAsia="hr-HR"/>
        </w:rPr>
        <w:t>006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73AD7" w:rsidRPr="00373AD7"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00 </w:t>
      </w:r>
      <w:r w:rsidR="00373AD7" w:rsidRPr="00373AD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672970"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 za otplate po ustupima potraživanja iz 2021. 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>U Gradskom uredu za gospodarstvo, e</w:t>
      </w:r>
      <w:r w:rsidR="00C011F2" w:rsidRPr="00123A70">
        <w:rPr>
          <w:rFonts w:ascii="Arial" w:eastAsia="Times New Roman" w:hAnsi="Arial" w:cs="Arial"/>
          <w:sz w:val="20"/>
          <w:szCs w:val="20"/>
          <w:lang w:eastAsia="hr-HR"/>
        </w:rPr>
        <w:t>kološku održivost i strategijsko planiranje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planirana su sredstva u iznosu od 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29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862</w:t>
      </w:r>
      <w:r w:rsidR="00143B5C" w:rsidRPr="00123A7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23A70" w:rsidRPr="00123A70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="00143B5C" w:rsidRPr="00123A70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23A70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na projektu Pročišćavanje otpadnih voda.</w:t>
      </w:r>
      <w:r w:rsidR="00672970" w:rsidRPr="00123A7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U Gradskom uredu za upravljanje imovinom </w:t>
      </w:r>
      <w:r w:rsidR="00C011F2" w:rsidRPr="00373AD7">
        <w:rPr>
          <w:rFonts w:ascii="Arial" w:eastAsia="Times New Roman" w:hAnsi="Arial" w:cs="Arial"/>
          <w:sz w:val="20"/>
          <w:szCs w:val="20"/>
          <w:lang w:eastAsia="hr-HR"/>
        </w:rPr>
        <w:t>i stanovanje</w:t>
      </w:r>
      <w:r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 planirana su sredstva u iznosu od </w:t>
      </w:r>
      <w:r w:rsidR="00373AD7" w:rsidRPr="00373AD7">
        <w:rPr>
          <w:rFonts w:ascii="Arial" w:eastAsia="Times New Roman" w:hAnsi="Arial" w:cs="Arial"/>
          <w:sz w:val="20"/>
          <w:szCs w:val="20"/>
          <w:lang w:eastAsia="hr-HR"/>
        </w:rPr>
        <w:t>18</w:t>
      </w:r>
      <w:r w:rsidRPr="00373AD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73AD7" w:rsidRPr="00373AD7">
        <w:rPr>
          <w:rFonts w:ascii="Arial" w:eastAsia="Times New Roman" w:hAnsi="Arial" w:cs="Arial"/>
          <w:sz w:val="20"/>
          <w:szCs w:val="20"/>
          <w:lang w:eastAsia="hr-HR"/>
        </w:rPr>
        <w:t>38</w:t>
      </w:r>
      <w:r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0.000 </w:t>
      </w:r>
      <w:r w:rsidR="00373AD7" w:rsidRPr="00373AD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373AD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0764BF">
        <w:rPr>
          <w:rFonts w:ascii="Arial" w:eastAsia="Times New Roman" w:hAnsi="Arial" w:cs="Arial"/>
          <w:sz w:val="20"/>
          <w:szCs w:val="20"/>
          <w:lang w:eastAsia="hr-HR"/>
        </w:rPr>
        <w:t xml:space="preserve">za otplatu po robnim kreditima. </w:t>
      </w:r>
    </w:p>
    <w:p w14:paraId="299398D6" w14:textId="244C5809" w:rsidR="00EE5044" w:rsidRDefault="00EE5044" w:rsidP="00EE50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2EB5E5" w14:textId="0DAC81B1" w:rsidR="00EE5044" w:rsidRPr="00F11EFC" w:rsidRDefault="00EE5044" w:rsidP="00F11EF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11EFC">
        <w:rPr>
          <w:rFonts w:ascii="Arial" w:eastAsia="Times New Roman" w:hAnsi="Arial" w:cs="Arial"/>
          <w:b/>
          <w:sz w:val="20"/>
          <w:szCs w:val="20"/>
          <w:lang w:eastAsia="hr-HR"/>
        </w:rPr>
        <w:t>PRENESENI MANJAK</w:t>
      </w:r>
    </w:p>
    <w:p w14:paraId="5AABD8E4" w14:textId="3D960EAD" w:rsidR="00424DDD" w:rsidRDefault="00424DDD" w:rsidP="00424D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7F9F6C0" w14:textId="47D2207F" w:rsidR="00424DDD" w:rsidRPr="00424DDD" w:rsidRDefault="00424DDD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4DDD">
        <w:rPr>
          <w:rFonts w:ascii="Arial" w:eastAsia="Times New Roman" w:hAnsi="Arial" w:cs="Arial"/>
          <w:sz w:val="20"/>
          <w:szCs w:val="20"/>
          <w:lang w:eastAsia="hr-HR"/>
        </w:rPr>
        <w:t>U Godišnjem izvještaju o izvršenju Proračuna Grada Zagreba za 2021. i Financijskom izvještaju o prihodima i rashodima, primicima i izdacima Grada Zagreba za razdoblje 1. siječnja do 31. prosinca 2021. kao rezultat poslovanja Grada Zagreba utvrđen je manjak proračuna u ukupnom iznosu 921.001.456,25 k</w:t>
      </w:r>
      <w:r>
        <w:rPr>
          <w:rFonts w:ascii="Arial" w:eastAsia="Times New Roman" w:hAnsi="Arial" w:cs="Arial"/>
          <w:sz w:val="20"/>
          <w:szCs w:val="20"/>
          <w:lang w:eastAsia="hr-HR"/>
        </w:rPr>
        <w:t>una odnosno 122.237.899,83 eura</w:t>
      </w:r>
      <w:r w:rsidRPr="00424DDD">
        <w:rPr>
          <w:rFonts w:ascii="Arial" w:eastAsia="Times New Roman" w:hAnsi="Arial" w:cs="Arial"/>
          <w:sz w:val="20"/>
          <w:szCs w:val="20"/>
          <w:lang w:eastAsia="hr-HR"/>
        </w:rPr>
        <w:t xml:space="preserve">. U Financijskom izvještaju o prihodima i rashodima, primicima i izdacima Grada Zagreba za razdoblje 1. siječnja do 30. rujna 2022. utvrđen je višak u iznosu od 515.637.686,17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kuna odnosno 68.436.881,83 eura, </w:t>
      </w:r>
      <w:r w:rsidRPr="00424DDD">
        <w:rPr>
          <w:rFonts w:ascii="Arial" w:eastAsia="Times New Roman" w:hAnsi="Arial" w:cs="Arial"/>
          <w:sz w:val="20"/>
          <w:szCs w:val="20"/>
          <w:lang w:eastAsia="hr-HR"/>
        </w:rPr>
        <w:t>od čega se procjenjuje pokriće manjka od 300.000.000,00 kuna odnosno 39.816.842,52 eura do kraja 2022. godine. Slijedom navedenog je utvrđena procjena manjka do kraja 2022. godine u iznosu od 621.001.777,95 kuna odnosno 82.421.100 eura (fiksni tečaj konverzije 7</w:t>
      </w:r>
      <w:r w:rsidR="001529EC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424DDD">
        <w:rPr>
          <w:rFonts w:ascii="Arial" w:eastAsia="Times New Roman" w:hAnsi="Arial" w:cs="Arial"/>
          <w:sz w:val="20"/>
          <w:szCs w:val="20"/>
          <w:lang w:eastAsia="hr-HR"/>
        </w:rPr>
        <w:t>53450).</w:t>
      </w:r>
    </w:p>
    <w:p w14:paraId="4B577AC5" w14:textId="77777777" w:rsidR="001529EC" w:rsidRDefault="001529EC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BB71E52" w14:textId="7715B358" w:rsidR="00424DDD" w:rsidRDefault="00424DDD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4DDD">
        <w:rPr>
          <w:rFonts w:ascii="Arial" w:eastAsia="Times New Roman" w:hAnsi="Arial" w:cs="Arial"/>
          <w:sz w:val="20"/>
          <w:szCs w:val="20"/>
          <w:lang w:eastAsia="hr-HR"/>
        </w:rPr>
        <w:t>Proračunom Grada Zagreba za naredno razdoblje se planira pokriće procijenjenog manjka u 2023. i projekcijama za 2024. i 2025. prema sljedećoj dinamici:</w:t>
      </w:r>
    </w:p>
    <w:p w14:paraId="168E245E" w14:textId="77777777" w:rsidR="001529EC" w:rsidRPr="00424DDD" w:rsidRDefault="001529EC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B12DEEC" w14:textId="77777777" w:rsidR="00424DDD" w:rsidRPr="00424DDD" w:rsidRDefault="00424DDD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4DDD">
        <w:rPr>
          <w:rFonts w:ascii="Arial" w:eastAsia="Times New Roman" w:hAnsi="Arial" w:cs="Arial"/>
          <w:sz w:val="20"/>
          <w:szCs w:val="20"/>
          <w:lang w:eastAsia="hr-HR"/>
        </w:rPr>
        <w:t>•</w:t>
      </w:r>
      <w:r w:rsidRPr="00424DDD">
        <w:rPr>
          <w:rFonts w:ascii="Arial" w:eastAsia="Times New Roman" w:hAnsi="Arial" w:cs="Arial"/>
          <w:sz w:val="20"/>
          <w:szCs w:val="20"/>
          <w:lang w:eastAsia="hr-HR"/>
        </w:rPr>
        <w:tab/>
        <w:t>2023. godina – 39.817.000,00 eura</w:t>
      </w:r>
    </w:p>
    <w:p w14:paraId="6DFEC0E0" w14:textId="77777777" w:rsidR="00424DDD" w:rsidRPr="00424DDD" w:rsidRDefault="00424DDD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4DDD">
        <w:rPr>
          <w:rFonts w:ascii="Arial" w:eastAsia="Times New Roman" w:hAnsi="Arial" w:cs="Arial"/>
          <w:sz w:val="20"/>
          <w:szCs w:val="20"/>
          <w:lang w:eastAsia="hr-HR"/>
        </w:rPr>
        <w:t>•</w:t>
      </w:r>
      <w:r w:rsidRPr="00424DDD">
        <w:rPr>
          <w:rFonts w:ascii="Arial" w:eastAsia="Times New Roman" w:hAnsi="Arial" w:cs="Arial"/>
          <w:sz w:val="20"/>
          <w:szCs w:val="20"/>
          <w:lang w:eastAsia="hr-HR"/>
        </w:rPr>
        <w:tab/>
        <w:t>2024. godina – 39.817.000,00 eura</w:t>
      </w:r>
    </w:p>
    <w:p w14:paraId="1FDA0BF1" w14:textId="4355D73D" w:rsidR="00EE5044" w:rsidRDefault="00424DDD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24DDD">
        <w:rPr>
          <w:rFonts w:ascii="Arial" w:eastAsia="Times New Roman" w:hAnsi="Arial" w:cs="Arial"/>
          <w:sz w:val="20"/>
          <w:szCs w:val="20"/>
          <w:lang w:eastAsia="hr-HR"/>
        </w:rPr>
        <w:t>•</w:t>
      </w:r>
      <w:r w:rsidRPr="00424DDD">
        <w:rPr>
          <w:rFonts w:ascii="Arial" w:eastAsia="Times New Roman" w:hAnsi="Arial" w:cs="Arial"/>
          <w:sz w:val="20"/>
          <w:szCs w:val="20"/>
          <w:lang w:eastAsia="hr-HR"/>
        </w:rPr>
        <w:tab/>
        <w:t>2025. godina –   2.787.100,00 eura</w:t>
      </w:r>
    </w:p>
    <w:p w14:paraId="083BBEDC" w14:textId="77777777" w:rsidR="001529EC" w:rsidRDefault="001529EC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C7E3A1" w14:textId="760DBDEA" w:rsidR="00424DDD" w:rsidRPr="00424DDD" w:rsidRDefault="00550109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Grad će u narednom razdoblju </w:t>
      </w:r>
      <w:r w:rsidR="00424DDD" w:rsidRPr="00424DDD">
        <w:rPr>
          <w:rFonts w:ascii="Arial" w:eastAsia="Times New Roman" w:hAnsi="Arial" w:cs="Arial"/>
          <w:sz w:val="20"/>
          <w:szCs w:val="20"/>
          <w:lang w:eastAsia="hr-HR"/>
        </w:rPr>
        <w:t>nastavit</w:t>
      </w:r>
      <w:r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424DDD" w:rsidRPr="00424DDD">
        <w:rPr>
          <w:rFonts w:ascii="Arial" w:eastAsia="Times New Roman" w:hAnsi="Arial" w:cs="Arial"/>
          <w:sz w:val="20"/>
          <w:szCs w:val="20"/>
          <w:lang w:eastAsia="hr-HR"/>
        </w:rPr>
        <w:t xml:space="preserve"> poduzima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ti </w:t>
      </w:r>
      <w:r w:rsidR="00424DDD" w:rsidRPr="00424DDD">
        <w:rPr>
          <w:rFonts w:ascii="Arial" w:eastAsia="Times New Roman" w:hAnsi="Arial" w:cs="Arial"/>
          <w:sz w:val="20"/>
          <w:szCs w:val="20"/>
          <w:lang w:eastAsia="hr-HR"/>
        </w:rPr>
        <w:t>sv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424DDD" w:rsidRPr="00424DDD">
        <w:rPr>
          <w:rFonts w:ascii="Arial" w:eastAsia="Times New Roman" w:hAnsi="Arial" w:cs="Arial"/>
          <w:sz w:val="20"/>
          <w:szCs w:val="20"/>
          <w:lang w:eastAsia="hr-HR"/>
        </w:rPr>
        <w:t xml:space="preserve"> mjer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424DDD" w:rsidRPr="00424DDD">
        <w:rPr>
          <w:rFonts w:ascii="Arial" w:eastAsia="Times New Roman" w:hAnsi="Arial" w:cs="Arial"/>
          <w:sz w:val="20"/>
          <w:szCs w:val="20"/>
          <w:lang w:eastAsia="hr-HR"/>
        </w:rPr>
        <w:t xml:space="preserve"> za pravodobno prikupljanje i ostvarenje proračunskih prihoda, uz maksimalno poštivanje načela ekonomičnosti i učinkovitosti prilikom trošenja proračunskih sredstava, a kako bi ostvareni prihodi bili dostatni za pokriće dijela prenesenog manjka te rashoda i izdataka u skladu s definiranom dinamikom. </w:t>
      </w:r>
    </w:p>
    <w:sectPr w:rsidR="00424DDD" w:rsidRPr="00424DDD" w:rsidSect="0061484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A61"/>
    <w:multiLevelType w:val="hybridMultilevel"/>
    <w:tmpl w:val="08002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5A78"/>
    <w:multiLevelType w:val="hybridMultilevel"/>
    <w:tmpl w:val="C840B714"/>
    <w:lvl w:ilvl="0" w:tplc="8000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C7689"/>
    <w:multiLevelType w:val="hybridMultilevel"/>
    <w:tmpl w:val="53A69312"/>
    <w:lvl w:ilvl="0" w:tplc="C41621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Garamond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69AB"/>
    <w:multiLevelType w:val="hybridMultilevel"/>
    <w:tmpl w:val="415CB2C8"/>
    <w:lvl w:ilvl="0" w:tplc="F8D6E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082F"/>
    <w:multiLevelType w:val="hybridMultilevel"/>
    <w:tmpl w:val="47BEC498"/>
    <w:lvl w:ilvl="0" w:tplc="C41621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Garamond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C0E7C"/>
    <w:multiLevelType w:val="hybridMultilevel"/>
    <w:tmpl w:val="B04E3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437A2"/>
    <w:multiLevelType w:val="hybridMultilevel"/>
    <w:tmpl w:val="FE5CA092"/>
    <w:lvl w:ilvl="0" w:tplc="F8D6E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A5F65"/>
    <w:multiLevelType w:val="hybridMultilevel"/>
    <w:tmpl w:val="9E90949E"/>
    <w:lvl w:ilvl="0" w:tplc="3E3CDA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930B4"/>
    <w:multiLevelType w:val="hybridMultilevel"/>
    <w:tmpl w:val="DEF05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267E"/>
    <w:multiLevelType w:val="hybridMultilevel"/>
    <w:tmpl w:val="81F03A68"/>
    <w:lvl w:ilvl="0" w:tplc="0D76B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CB5A9F"/>
    <w:multiLevelType w:val="hybridMultilevel"/>
    <w:tmpl w:val="86BEA206"/>
    <w:lvl w:ilvl="0" w:tplc="041A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0DF768F4"/>
    <w:multiLevelType w:val="multilevel"/>
    <w:tmpl w:val="5434E2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E6C023D"/>
    <w:multiLevelType w:val="hybridMultilevel"/>
    <w:tmpl w:val="1F6E2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F05CF"/>
    <w:multiLevelType w:val="hybridMultilevel"/>
    <w:tmpl w:val="90BE3176"/>
    <w:lvl w:ilvl="0" w:tplc="B5FC28A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81CC6"/>
    <w:multiLevelType w:val="hybridMultilevel"/>
    <w:tmpl w:val="23944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96043"/>
    <w:multiLevelType w:val="hybridMultilevel"/>
    <w:tmpl w:val="4BE03160"/>
    <w:lvl w:ilvl="0" w:tplc="D1C2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E818E3"/>
    <w:multiLevelType w:val="hybridMultilevel"/>
    <w:tmpl w:val="BE6E1B36"/>
    <w:lvl w:ilvl="0" w:tplc="8000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0A02B7"/>
    <w:multiLevelType w:val="hybridMultilevel"/>
    <w:tmpl w:val="5E2066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EF50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1B1601"/>
    <w:multiLevelType w:val="hybridMultilevel"/>
    <w:tmpl w:val="B4D84990"/>
    <w:lvl w:ilvl="0" w:tplc="4C98F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A7824"/>
    <w:multiLevelType w:val="hybridMultilevel"/>
    <w:tmpl w:val="9B84A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B76F9B"/>
    <w:multiLevelType w:val="hybridMultilevel"/>
    <w:tmpl w:val="DE482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BF1E8B"/>
    <w:multiLevelType w:val="hybridMultilevel"/>
    <w:tmpl w:val="E6CEED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7BF221C"/>
    <w:multiLevelType w:val="hybridMultilevel"/>
    <w:tmpl w:val="11C65FDA"/>
    <w:lvl w:ilvl="0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17ED2601"/>
    <w:multiLevelType w:val="hybridMultilevel"/>
    <w:tmpl w:val="1E7498C4"/>
    <w:lvl w:ilvl="0" w:tplc="8000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4C0DCD"/>
    <w:multiLevelType w:val="hybridMultilevel"/>
    <w:tmpl w:val="368854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0F3232"/>
    <w:multiLevelType w:val="hybridMultilevel"/>
    <w:tmpl w:val="DF50868A"/>
    <w:lvl w:ilvl="0" w:tplc="2020B88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2020B8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B635979"/>
    <w:multiLevelType w:val="hybridMultilevel"/>
    <w:tmpl w:val="60EA8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E30834"/>
    <w:multiLevelType w:val="multilevel"/>
    <w:tmpl w:val="005043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9D7052"/>
    <w:multiLevelType w:val="hybridMultilevel"/>
    <w:tmpl w:val="74463C26"/>
    <w:lvl w:ilvl="0" w:tplc="6A20C71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1D753B42"/>
    <w:multiLevelType w:val="hybridMultilevel"/>
    <w:tmpl w:val="33908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C35018"/>
    <w:multiLevelType w:val="hybridMultilevel"/>
    <w:tmpl w:val="51441B6C"/>
    <w:lvl w:ilvl="0" w:tplc="90CAF7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1C1E7B"/>
    <w:multiLevelType w:val="hybridMultilevel"/>
    <w:tmpl w:val="5DFE39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344BC3"/>
    <w:multiLevelType w:val="hybridMultilevel"/>
    <w:tmpl w:val="82CAF7E4"/>
    <w:lvl w:ilvl="0" w:tplc="2020B88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39F5490"/>
    <w:multiLevelType w:val="hybridMultilevel"/>
    <w:tmpl w:val="44C497C0"/>
    <w:lvl w:ilvl="0" w:tplc="C41621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Garamond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23A82F02"/>
    <w:multiLevelType w:val="hybridMultilevel"/>
    <w:tmpl w:val="4D56312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3C5735D"/>
    <w:multiLevelType w:val="hybridMultilevel"/>
    <w:tmpl w:val="19B0D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F80EFA"/>
    <w:multiLevelType w:val="hybridMultilevel"/>
    <w:tmpl w:val="98D48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CB19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336DFA"/>
    <w:multiLevelType w:val="hybridMultilevel"/>
    <w:tmpl w:val="BAEA2A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4BC6ED7"/>
    <w:multiLevelType w:val="hybridMultilevel"/>
    <w:tmpl w:val="8E48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3F0AD5"/>
    <w:multiLevelType w:val="hybridMultilevel"/>
    <w:tmpl w:val="7A9A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9753BF"/>
    <w:multiLevelType w:val="hybridMultilevel"/>
    <w:tmpl w:val="FF924D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E50B90"/>
    <w:multiLevelType w:val="hybridMultilevel"/>
    <w:tmpl w:val="89CE398C"/>
    <w:lvl w:ilvl="0" w:tplc="D1C288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2740741C"/>
    <w:multiLevelType w:val="hybridMultilevel"/>
    <w:tmpl w:val="C5E0A3C8"/>
    <w:lvl w:ilvl="0" w:tplc="8000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7160CF"/>
    <w:multiLevelType w:val="hybridMultilevel"/>
    <w:tmpl w:val="807C7F52"/>
    <w:lvl w:ilvl="0" w:tplc="48C05E4A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EC5416"/>
    <w:multiLevelType w:val="singleLevel"/>
    <w:tmpl w:val="48C05E4A"/>
    <w:lvl w:ilvl="0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46" w15:restartNumberingAfterBreak="0">
    <w:nsid w:val="2C5D1C1C"/>
    <w:multiLevelType w:val="hybridMultilevel"/>
    <w:tmpl w:val="0680B09C"/>
    <w:lvl w:ilvl="0" w:tplc="C41621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Garamond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774BAF"/>
    <w:multiLevelType w:val="hybridMultilevel"/>
    <w:tmpl w:val="87368C6C"/>
    <w:lvl w:ilvl="0" w:tplc="43487C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308A64CD"/>
    <w:multiLevelType w:val="hybridMultilevel"/>
    <w:tmpl w:val="A06E2292"/>
    <w:lvl w:ilvl="0" w:tplc="C41621B8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cs="Garamond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994AE1"/>
    <w:multiLevelType w:val="hybridMultilevel"/>
    <w:tmpl w:val="6FBE5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B75936"/>
    <w:multiLevelType w:val="hybridMultilevel"/>
    <w:tmpl w:val="72301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1620A2"/>
    <w:multiLevelType w:val="hybridMultilevel"/>
    <w:tmpl w:val="3D1E2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285A3E"/>
    <w:multiLevelType w:val="hybridMultilevel"/>
    <w:tmpl w:val="83CCB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371F69"/>
    <w:multiLevelType w:val="hybridMultilevel"/>
    <w:tmpl w:val="A68CF83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3F4EFC"/>
    <w:multiLevelType w:val="hybridMultilevel"/>
    <w:tmpl w:val="E91421BC"/>
    <w:lvl w:ilvl="0" w:tplc="21C63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616D7"/>
    <w:multiLevelType w:val="hybridMultilevel"/>
    <w:tmpl w:val="D158B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6B11E8"/>
    <w:multiLevelType w:val="hybridMultilevel"/>
    <w:tmpl w:val="CB82E0B0"/>
    <w:lvl w:ilvl="0" w:tplc="5B36A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F10576"/>
    <w:multiLevelType w:val="hybridMultilevel"/>
    <w:tmpl w:val="FFFFFFFF"/>
    <w:lvl w:ilvl="0" w:tplc="E7CE86BA">
      <w:start w:val="1"/>
      <w:numFmt w:val="bullet"/>
      <w:lvlText w:val="-"/>
      <w:lvlJc w:val="left"/>
      <w:pPr>
        <w:ind w:left="405" w:hanging="360"/>
      </w:pPr>
      <w:rPr>
        <w:rFonts w:ascii="Calibri" w:hAnsi="Calibri" w:hint="default"/>
      </w:rPr>
    </w:lvl>
    <w:lvl w:ilvl="1" w:tplc="F9F6E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29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2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0D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E9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A9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69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E9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7165B5"/>
    <w:multiLevelType w:val="hybridMultilevel"/>
    <w:tmpl w:val="42C4E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C036E9"/>
    <w:multiLevelType w:val="hybridMultilevel"/>
    <w:tmpl w:val="0BA88BF4"/>
    <w:lvl w:ilvl="0" w:tplc="C41621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Garamond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D807A3"/>
    <w:multiLevelType w:val="hybridMultilevel"/>
    <w:tmpl w:val="62FA8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735FC6"/>
    <w:multiLevelType w:val="hybridMultilevel"/>
    <w:tmpl w:val="DCA8C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EA7F37"/>
    <w:multiLevelType w:val="hybridMultilevel"/>
    <w:tmpl w:val="80105696"/>
    <w:lvl w:ilvl="0" w:tplc="D1C2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29093C"/>
    <w:multiLevelType w:val="hybridMultilevel"/>
    <w:tmpl w:val="FEBC093C"/>
    <w:lvl w:ilvl="0" w:tplc="B5FC28A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127427"/>
    <w:multiLevelType w:val="hybridMultilevel"/>
    <w:tmpl w:val="896A4952"/>
    <w:lvl w:ilvl="0" w:tplc="041A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65" w15:restartNumberingAfterBreak="0">
    <w:nsid w:val="47205CFB"/>
    <w:multiLevelType w:val="hybridMultilevel"/>
    <w:tmpl w:val="BD281EE8"/>
    <w:lvl w:ilvl="0" w:tplc="041A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8D7CC3"/>
    <w:multiLevelType w:val="hybridMultilevel"/>
    <w:tmpl w:val="F1FA8D10"/>
    <w:lvl w:ilvl="0" w:tplc="C41621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Garamond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E908FB"/>
    <w:multiLevelType w:val="hybridMultilevel"/>
    <w:tmpl w:val="5CF0F0D6"/>
    <w:lvl w:ilvl="0" w:tplc="0E7E7B4C">
      <w:start w:val="1"/>
      <w:numFmt w:val="bullet"/>
      <w:lvlText w:val="-"/>
      <w:lvlJc w:val="left"/>
      <w:pPr>
        <w:ind w:left="1065" w:hanging="705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F80385"/>
    <w:multiLevelType w:val="hybridMultilevel"/>
    <w:tmpl w:val="87D6BC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E7771A1"/>
    <w:multiLevelType w:val="hybridMultilevel"/>
    <w:tmpl w:val="EB1664E4"/>
    <w:lvl w:ilvl="0" w:tplc="D1C2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8C150A"/>
    <w:multiLevelType w:val="hybridMultilevel"/>
    <w:tmpl w:val="81C62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D8690F"/>
    <w:multiLevelType w:val="hybridMultilevel"/>
    <w:tmpl w:val="4A6C8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E57037"/>
    <w:multiLevelType w:val="hybridMultilevel"/>
    <w:tmpl w:val="C518B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883224"/>
    <w:multiLevelType w:val="hybridMultilevel"/>
    <w:tmpl w:val="8AA4524C"/>
    <w:lvl w:ilvl="0" w:tplc="C41621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Garamond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F415DC"/>
    <w:multiLevelType w:val="hybridMultilevel"/>
    <w:tmpl w:val="D64CC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BA01DB"/>
    <w:multiLevelType w:val="hybridMultilevel"/>
    <w:tmpl w:val="BE846B5C"/>
    <w:lvl w:ilvl="0" w:tplc="0E7E7B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80121D"/>
    <w:multiLevelType w:val="hybridMultilevel"/>
    <w:tmpl w:val="09185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954860"/>
    <w:multiLevelType w:val="hybridMultilevel"/>
    <w:tmpl w:val="5ABEC45E"/>
    <w:lvl w:ilvl="0" w:tplc="692C1E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BB4FF0"/>
    <w:multiLevelType w:val="hybridMultilevel"/>
    <w:tmpl w:val="0526F914"/>
    <w:lvl w:ilvl="0" w:tplc="D1C2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3E0174"/>
    <w:multiLevelType w:val="hybridMultilevel"/>
    <w:tmpl w:val="F2FA1BF0"/>
    <w:lvl w:ilvl="0" w:tplc="8000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BF5351"/>
    <w:multiLevelType w:val="hybridMultilevel"/>
    <w:tmpl w:val="A656D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4A54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1A64E9"/>
    <w:multiLevelType w:val="hybridMultilevel"/>
    <w:tmpl w:val="82743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BB0AB7"/>
    <w:multiLevelType w:val="hybridMultilevel"/>
    <w:tmpl w:val="B152096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3" w15:restartNumberingAfterBreak="0">
    <w:nsid w:val="658E378A"/>
    <w:multiLevelType w:val="hybridMultilevel"/>
    <w:tmpl w:val="93024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6D25DBC"/>
    <w:multiLevelType w:val="hybridMultilevel"/>
    <w:tmpl w:val="395028B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87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7126589"/>
    <w:multiLevelType w:val="hybridMultilevel"/>
    <w:tmpl w:val="E60AA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8C36F2"/>
    <w:multiLevelType w:val="hybridMultilevel"/>
    <w:tmpl w:val="92728D1C"/>
    <w:lvl w:ilvl="0" w:tplc="FB9404D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963490F"/>
    <w:multiLevelType w:val="hybridMultilevel"/>
    <w:tmpl w:val="EF74B3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9792309"/>
    <w:multiLevelType w:val="hybridMultilevel"/>
    <w:tmpl w:val="ECC28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E740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D397F7A"/>
    <w:multiLevelType w:val="hybridMultilevel"/>
    <w:tmpl w:val="954C1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ED65A6"/>
    <w:multiLevelType w:val="hybridMultilevel"/>
    <w:tmpl w:val="B14A0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E0045AE"/>
    <w:multiLevelType w:val="hybridMultilevel"/>
    <w:tmpl w:val="AFAE1982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2" w15:restartNumberingAfterBreak="0">
    <w:nsid w:val="6F987CE6"/>
    <w:multiLevelType w:val="hybridMultilevel"/>
    <w:tmpl w:val="282CA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E3277A"/>
    <w:multiLevelType w:val="hybridMultilevel"/>
    <w:tmpl w:val="5B4A841E"/>
    <w:lvl w:ilvl="0" w:tplc="13587F8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37116F"/>
    <w:multiLevelType w:val="hybridMultilevel"/>
    <w:tmpl w:val="EDC2A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FD1032"/>
    <w:multiLevelType w:val="hybridMultilevel"/>
    <w:tmpl w:val="49C8FB9E"/>
    <w:lvl w:ilvl="0" w:tplc="A7423CD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F521CB"/>
    <w:multiLevelType w:val="multilevel"/>
    <w:tmpl w:val="B6DA81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9812DE0"/>
    <w:multiLevelType w:val="hybridMultilevel"/>
    <w:tmpl w:val="32FC6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280FD5"/>
    <w:multiLevelType w:val="hybridMultilevel"/>
    <w:tmpl w:val="0DC47C96"/>
    <w:lvl w:ilvl="0" w:tplc="D1C2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BA00F64"/>
    <w:multiLevelType w:val="hybridMultilevel"/>
    <w:tmpl w:val="4E160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C1C1EAF"/>
    <w:multiLevelType w:val="hybridMultilevel"/>
    <w:tmpl w:val="BFA6C93E"/>
    <w:lvl w:ilvl="0" w:tplc="8000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C755FF8"/>
    <w:multiLevelType w:val="hybridMultilevel"/>
    <w:tmpl w:val="D78E0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5158DB"/>
    <w:multiLevelType w:val="hybridMultilevel"/>
    <w:tmpl w:val="26F633BA"/>
    <w:lvl w:ilvl="0" w:tplc="D1C2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562587"/>
    <w:multiLevelType w:val="hybridMultilevel"/>
    <w:tmpl w:val="53EE2710"/>
    <w:lvl w:ilvl="0" w:tplc="DC100D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D934368"/>
    <w:multiLevelType w:val="hybridMultilevel"/>
    <w:tmpl w:val="951A9DB4"/>
    <w:lvl w:ilvl="0" w:tplc="EA64C5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DB304FE"/>
    <w:multiLevelType w:val="hybridMultilevel"/>
    <w:tmpl w:val="DCF40FE6"/>
    <w:lvl w:ilvl="0" w:tplc="C41621B8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cs="Garamond" w:hint="default"/>
        <w:color w:val="auto"/>
      </w:rPr>
    </w:lvl>
    <w:lvl w:ilvl="1" w:tplc="3E3CDAC2">
      <w:numFmt w:val="bullet"/>
      <w:lvlText w:val="-"/>
      <w:lvlJc w:val="left"/>
      <w:pPr>
        <w:tabs>
          <w:tab w:val="num" w:pos="1404"/>
        </w:tabs>
        <w:ind w:left="1404" w:hanging="360"/>
      </w:pPr>
      <w:rPr>
        <w:color w:val="auto"/>
      </w:rPr>
    </w:lvl>
    <w:lvl w:ilvl="2" w:tplc="041A0005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04"/>
  </w:num>
  <w:num w:numId="3">
    <w:abstractNumId w:val="23"/>
  </w:num>
  <w:num w:numId="4">
    <w:abstractNumId w:val="44"/>
  </w:num>
  <w:num w:numId="5">
    <w:abstractNumId w:val="84"/>
  </w:num>
  <w:num w:numId="6">
    <w:abstractNumId w:val="50"/>
  </w:num>
  <w:num w:numId="7">
    <w:abstractNumId w:val="47"/>
  </w:num>
  <w:num w:numId="8">
    <w:abstractNumId w:val="12"/>
  </w:num>
  <w:num w:numId="9">
    <w:abstractNumId w:val="83"/>
  </w:num>
  <w:num w:numId="10">
    <w:abstractNumId w:val="54"/>
  </w:num>
  <w:num w:numId="11">
    <w:abstractNumId w:val="77"/>
  </w:num>
  <w:num w:numId="12">
    <w:abstractNumId w:val="96"/>
  </w:num>
  <w:num w:numId="13">
    <w:abstractNumId w:val="7"/>
  </w:num>
  <w:num w:numId="14">
    <w:abstractNumId w:val="65"/>
  </w:num>
  <w:num w:numId="15">
    <w:abstractNumId w:val="29"/>
  </w:num>
  <w:num w:numId="16">
    <w:abstractNumId w:val="30"/>
  </w:num>
  <w:num w:numId="17">
    <w:abstractNumId w:val="70"/>
  </w:num>
  <w:num w:numId="18">
    <w:abstractNumId w:val="66"/>
  </w:num>
  <w:num w:numId="19">
    <w:abstractNumId w:val="99"/>
  </w:num>
  <w:num w:numId="20">
    <w:abstractNumId w:val="69"/>
  </w:num>
  <w:num w:numId="21">
    <w:abstractNumId w:val="58"/>
  </w:num>
  <w:num w:numId="22">
    <w:abstractNumId w:val="68"/>
  </w:num>
  <w:num w:numId="23">
    <w:abstractNumId w:val="14"/>
  </w:num>
  <w:num w:numId="24">
    <w:abstractNumId w:val="63"/>
  </w:num>
  <w:num w:numId="25">
    <w:abstractNumId w:val="95"/>
  </w:num>
  <w:num w:numId="26">
    <w:abstractNumId w:val="78"/>
  </w:num>
  <w:num w:numId="27">
    <w:abstractNumId w:val="53"/>
  </w:num>
  <w:num w:numId="28">
    <w:abstractNumId w:val="10"/>
  </w:num>
  <w:num w:numId="29">
    <w:abstractNumId w:val="46"/>
  </w:num>
  <w:num w:numId="30">
    <w:abstractNumId w:val="62"/>
  </w:num>
  <w:num w:numId="31">
    <w:abstractNumId w:val="4"/>
  </w:num>
  <w:num w:numId="32">
    <w:abstractNumId w:val="102"/>
  </w:num>
  <w:num w:numId="33">
    <w:abstractNumId w:val="89"/>
  </w:num>
  <w:num w:numId="34">
    <w:abstractNumId w:val="51"/>
  </w:num>
  <w:num w:numId="35">
    <w:abstractNumId w:val="5"/>
  </w:num>
  <w:num w:numId="36">
    <w:abstractNumId w:val="91"/>
  </w:num>
  <w:num w:numId="37">
    <w:abstractNumId w:val="52"/>
  </w:num>
  <w:num w:numId="38">
    <w:abstractNumId w:val="67"/>
  </w:num>
  <w:num w:numId="39">
    <w:abstractNumId w:val="60"/>
  </w:num>
  <w:num w:numId="40">
    <w:abstractNumId w:val="21"/>
  </w:num>
  <w:num w:numId="41">
    <w:abstractNumId w:val="97"/>
  </w:num>
  <w:num w:numId="42">
    <w:abstractNumId w:val="75"/>
  </w:num>
  <w:num w:numId="43">
    <w:abstractNumId w:val="59"/>
  </w:num>
  <w:num w:numId="44">
    <w:abstractNumId w:val="57"/>
  </w:num>
  <w:num w:numId="45">
    <w:abstractNumId w:val="105"/>
  </w:num>
  <w:num w:numId="46">
    <w:abstractNumId w:val="9"/>
  </w:num>
  <w:num w:numId="47">
    <w:abstractNumId w:val="35"/>
  </w:num>
  <w:num w:numId="48">
    <w:abstractNumId w:val="34"/>
  </w:num>
  <w:num w:numId="49">
    <w:abstractNumId w:val="11"/>
  </w:num>
  <w:num w:numId="50">
    <w:abstractNumId w:val="28"/>
  </w:num>
  <w:num w:numId="51">
    <w:abstractNumId w:val="26"/>
  </w:num>
  <w:num w:numId="52">
    <w:abstractNumId w:val="33"/>
  </w:num>
  <w:num w:numId="53">
    <w:abstractNumId w:val="3"/>
  </w:num>
  <w:num w:numId="54">
    <w:abstractNumId w:val="6"/>
  </w:num>
  <w:num w:numId="55">
    <w:abstractNumId w:val="22"/>
  </w:num>
  <w:num w:numId="56">
    <w:abstractNumId w:val="85"/>
  </w:num>
  <w:num w:numId="57">
    <w:abstractNumId w:val="80"/>
  </w:num>
  <w:num w:numId="58">
    <w:abstractNumId w:val="94"/>
  </w:num>
  <w:num w:numId="59">
    <w:abstractNumId w:val="73"/>
  </w:num>
  <w:num w:numId="60">
    <w:abstractNumId w:val="19"/>
  </w:num>
  <w:num w:numId="61">
    <w:abstractNumId w:val="2"/>
  </w:num>
  <w:num w:numId="62">
    <w:abstractNumId w:val="98"/>
  </w:num>
  <w:num w:numId="63">
    <w:abstractNumId w:val="92"/>
  </w:num>
  <w:num w:numId="64">
    <w:abstractNumId w:val="88"/>
  </w:num>
  <w:num w:numId="65">
    <w:abstractNumId w:val="56"/>
  </w:num>
  <w:num w:numId="66">
    <w:abstractNumId w:val="90"/>
  </w:num>
  <w:num w:numId="67">
    <w:abstractNumId w:val="64"/>
  </w:num>
  <w:num w:numId="68">
    <w:abstractNumId w:val="100"/>
  </w:num>
  <w:num w:numId="69">
    <w:abstractNumId w:val="24"/>
  </w:num>
  <w:num w:numId="70">
    <w:abstractNumId w:val="1"/>
  </w:num>
  <w:num w:numId="71">
    <w:abstractNumId w:val="17"/>
  </w:num>
  <w:num w:numId="72">
    <w:abstractNumId w:val="40"/>
  </w:num>
  <w:num w:numId="73">
    <w:abstractNumId w:val="18"/>
  </w:num>
  <w:num w:numId="74">
    <w:abstractNumId w:val="36"/>
  </w:num>
  <w:num w:numId="75">
    <w:abstractNumId w:val="76"/>
  </w:num>
  <w:num w:numId="76">
    <w:abstractNumId w:val="101"/>
  </w:num>
  <w:num w:numId="77">
    <w:abstractNumId w:val="71"/>
  </w:num>
  <w:num w:numId="78">
    <w:abstractNumId w:val="39"/>
  </w:num>
  <w:num w:numId="79">
    <w:abstractNumId w:val="27"/>
  </w:num>
  <w:num w:numId="80">
    <w:abstractNumId w:val="43"/>
  </w:num>
  <w:num w:numId="81">
    <w:abstractNumId w:val="55"/>
  </w:num>
  <w:num w:numId="82">
    <w:abstractNumId w:val="37"/>
  </w:num>
  <w:num w:numId="83">
    <w:abstractNumId w:val="16"/>
  </w:num>
  <w:num w:numId="84">
    <w:abstractNumId w:val="0"/>
  </w:num>
  <w:num w:numId="85">
    <w:abstractNumId w:val="72"/>
  </w:num>
  <w:num w:numId="86">
    <w:abstractNumId w:val="15"/>
  </w:num>
  <w:num w:numId="87">
    <w:abstractNumId w:val="32"/>
  </w:num>
  <w:num w:numId="88">
    <w:abstractNumId w:val="82"/>
  </w:num>
  <w:num w:numId="89">
    <w:abstractNumId w:val="49"/>
  </w:num>
  <w:num w:numId="90">
    <w:abstractNumId w:val="13"/>
  </w:num>
  <w:num w:numId="91">
    <w:abstractNumId w:val="41"/>
  </w:num>
  <w:num w:numId="92">
    <w:abstractNumId w:val="42"/>
  </w:num>
  <w:num w:numId="93">
    <w:abstractNumId w:val="20"/>
  </w:num>
  <w:num w:numId="94">
    <w:abstractNumId w:val="25"/>
  </w:num>
  <w:num w:numId="95">
    <w:abstractNumId w:val="48"/>
  </w:num>
  <w:num w:numId="96">
    <w:abstractNumId w:val="87"/>
  </w:num>
  <w:num w:numId="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3"/>
  </w:num>
  <w:num w:numId="102">
    <w:abstractNumId w:val="86"/>
  </w:num>
  <w:num w:numId="103">
    <w:abstractNumId w:val="38"/>
  </w:num>
  <w:num w:numId="104">
    <w:abstractNumId w:val="31"/>
  </w:num>
  <w:num w:numId="105">
    <w:abstractNumId w:val="79"/>
  </w:num>
  <w:num w:numId="106">
    <w:abstractNumId w:val="61"/>
  </w:num>
  <w:num w:numId="107">
    <w:abstractNumId w:val="77"/>
  </w:num>
  <w:num w:numId="108">
    <w:abstractNumId w:val="77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6"/>
    <w:rsid w:val="00002A13"/>
    <w:rsid w:val="0000316E"/>
    <w:rsid w:val="0000649F"/>
    <w:rsid w:val="00030F6D"/>
    <w:rsid w:val="00033BC1"/>
    <w:rsid w:val="000366E9"/>
    <w:rsid w:val="00040C8B"/>
    <w:rsid w:val="0006762D"/>
    <w:rsid w:val="00067F01"/>
    <w:rsid w:val="00070870"/>
    <w:rsid w:val="00073BD0"/>
    <w:rsid w:val="000764BF"/>
    <w:rsid w:val="0008037C"/>
    <w:rsid w:val="00085108"/>
    <w:rsid w:val="00096BC4"/>
    <w:rsid w:val="000A1DFC"/>
    <w:rsid w:val="000A7684"/>
    <w:rsid w:val="000C3378"/>
    <w:rsid w:val="000D1067"/>
    <w:rsid w:val="000F77DA"/>
    <w:rsid w:val="001170E1"/>
    <w:rsid w:val="00123A70"/>
    <w:rsid w:val="00133A49"/>
    <w:rsid w:val="00143B5C"/>
    <w:rsid w:val="00146272"/>
    <w:rsid w:val="00147AE0"/>
    <w:rsid w:val="00147D58"/>
    <w:rsid w:val="001529EC"/>
    <w:rsid w:val="0015584C"/>
    <w:rsid w:val="001656D4"/>
    <w:rsid w:val="00167CAB"/>
    <w:rsid w:val="00170A5A"/>
    <w:rsid w:val="00176438"/>
    <w:rsid w:val="0018397F"/>
    <w:rsid w:val="00190D5A"/>
    <w:rsid w:val="001966CA"/>
    <w:rsid w:val="001A7F1A"/>
    <w:rsid w:val="001B57E5"/>
    <w:rsid w:val="001C4D6A"/>
    <w:rsid w:val="001D05D5"/>
    <w:rsid w:val="001D1EF7"/>
    <w:rsid w:val="001D4781"/>
    <w:rsid w:val="001E0B45"/>
    <w:rsid w:val="001F3FBD"/>
    <w:rsid w:val="001F405B"/>
    <w:rsid w:val="00203C4B"/>
    <w:rsid w:val="00217AF2"/>
    <w:rsid w:val="00220649"/>
    <w:rsid w:val="002305BC"/>
    <w:rsid w:val="00244D24"/>
    <w:rsid w:val="00246AA6"/>
    <w:rsid w:val="00251FD7"/>
    <w:rsid w:val="00261186"/>
    <w:rsid w:val="00267EA6"/>
    <w:rsid w:val="0027475F"/>
    <w:rsid w:val="00286379"/>
    <w:rsid w:val="002A77E1"/>
    <w:rsid w:val="002B012A"/>
    <w:rsid w:val="002C0D61"/>
    <w:rsid w:val="002C229F"/>
    <w:rsid w:val="002C258F"/>
    <w:rsid w:val="002C49B8"/>
    <w:rsid w:val="002D13AC"/>
    <w:rsid w:val="002D4953"/>
    <w:rsid w:val="002D4FB8"/>
    <w:rsid w:val="002E2F79"/>
    <w:rsid w:val="002F3C7B"/>
    <w:rsid w:val="0031550C"/>
    <w:rsid w:val="00322281"/>
    <w:rsid w:val="0033241A"/>
    <w:rsid w:val="00334A7D"/>
    <w:rsid w:val="00340DDB"/>
    <w:rsid w:val="00341897"/>
    <w:rsid w:val="003578FA"/>
    <w:rsid w:val="00360118"/>
    <w:rsid w:val="00373AD7"/>
    <w:rsid w:val="0039109A"/>
    <w:rsid w:val="00393451"/>
    <w:rsid w:val="00395E6C"/>
    <w:rsid w:val="003A0EE9"/>
    <w:rsid w:val="003B21C2"/>
    <w:rsid w:val="003B6462"/>
    <w:rsid w:val="003B72CF"/>
    <w:rsid w:val="003C2724"/>
    <w:rsid w:val="003D28AD"/>
    <w:rsid w:val="003D3A3E"/>
    <w:rsid w:val="003D416E"/>
    <w:rsid w:val="003D4C39"/>
    <w:rsid w:val="003E5401"/>
    <w:rsid w:val="003F055A"/>
    <w:rsid w:val="003F1581"/>
    <w:rsid w:val="003F6381"/>
    <w:rsid w:val="00405D8E"/>
    <w:rsid w:val="004066DE"/>
    <w:rsid w:val="00415A1A"/>
    <w:rsid w:val="00424DDD"/>
    <w:rsid w:val="00425648"/>
    <w:rsid w:val="004352B7"/>
    <w:rsid w:val="004417EE"/>
    <w:rsid w:val="00443646"/>
    <w:rsid w:val="00460583"/>
    <w:rsid w:val="00490C59"/>
    <w:rsid w:val="004A0BFF"/>
    <w:rsid w:val="004B738C"/>
    <w:rsid w:val="004C18AF"/>
    <w:rsid w:val="004C33D4"/>
    <w:rsid w:val="004D11C4"/>
    <w:rsid w:val="004E0975"/>
    <w:rsid w:val="004F49D5"/>
    <w:rsid w:val="004F503F"/>
    <w:rsid w:val="004F5244"/>
    <w:rsid w:val="004F68F9"/>
    <w:rsid w:val="004F7380"/>
    <w:rsid w:val="005044CE"/>
    <w:rsid w:val="005078BD"/>
    <w:rsid w:val="0051052B"/>
    <w:rsid w:val="0051620D"/>
    <w:rsid w:val="0051782E"/>
    <w:rsid w:val="005178FA"/>
    <w:rsid w:val="00525E53"/>
    <w:rsid w:val="00532EBF"/>
    <w:rsid w:val="00536FB6"/>
    <w:rsid w:val="00544320"/>
    <w:rsid w:val="00550109"/>
    <w:rsid w:val="0055378C"/>
    <w:rsid w:val="005720D0"/>
    <w:rsid w:val="005740A5"/>
    <w:rsid w:val="00582894"/>
    <w:rsid w:val="005867D8"/>
    <w:rsid w:val="0058798D"/>
    <w:rsid w:val="005920F2"/>
    <w:rsid w:val="00592C7B"/>
    <w:rsid w:val="005964AA"/>
    <w:rsid w:val="005B0D7D"/>
    <w:rsid w:val="005C14A6"/>
    <w:rsid w:val="005D6ADB"/>
    <w:rsid w:val="005F58CB"/>
    <w:rsid w:val="005F612C"/>
    <w:rsid w:val="006129C7"/>
    <w:rsid w:val="0061484F"/>
    <w:rsid w:val="006243EF"/>
    <w:rsid w:val="006372B7"/>
    <w:rsid w:val="0064377C"/>
    <w:rsid w:val="00647BCB"/>
    <w:rsid w:val="0065009A"/>
    <w:rsid w:val="0065706F"/>
    <w:rsid w:val="0066489B"/>
    <w:rsid w:val="00667837"/>
    <w:rsid w:val="00672970"/>
    <w:rsid w:val="00672BCC"/>
    <w:rsid w:val="00674C4B"/>
    <w:rsid w:val="006758CB"/>
    <w:rsid w:val="00682918"/>
    <w:rsid w:val="006848CB"/>
    <w:rsid w:val="00686EA6"/>
    <w:rsid w:val="00687D41"/>
    <w:rsid w:val="006C3891"/>
    <w:rsid w:val="006C723B"/>
    <w:rsid w:val="006F3DD0"/>
    <w:rsid w:val="00716C48"/>
    <w:rsid w:val="007233E9"/>
    <w:rsid w:val="0072735B"/>
    <w:rsid w:val="007300A9"/>
    <w:rsid w:val="00731C57"/>
    <w:rsid w:val="007357D2"/>
    <w:rsid w:val="00755572"/>
    <w:rsid w:val="00763BA6"/>
    <w:rsid w:val="00773B11"/>
    <w:rsid w:val="00791E27"/>
    <w:rsid w:val="007A2D6C"/>
    <w:rsid w:val="007B1230"/>
    <w:rsid w:val="007C3A6B"/>
    <w:rsid w:val="007C75C0"/>
    <w:rsid w:val="007D0A46"/>
    <w:rsid w:val="007D2B9F"/>
    <w:rsid w:val="007D407A"/>
    <w:rsid w:val="007D55E7"/>
    <w:rsid w:val="007D6218"/>
    <w:rsid w:val="0080488F"/>
    <w:rsid w:val="0080614F"/>
    <w:rsid w:val="008142D4"/>
    <w:rsid w:val="00820D4C"/>
    <w:rsid w:val="00823B2B"/>
    <w:rsid w:val="00825B86"/>
    <w:rsid w:val="00834D89"/>
    <w:rsid w:val="008402C5"/>
    <w:rsid w:val="00842FFE"/>
    <w:rsid w:val="0084502C"/>
    <w:rsid w:val="008547D0"/>
    <w:rsid w:val="00860F6E"/>
    <w:rsid w:val="00861920"/>
    <w:rsid w:val="00874DC4"/>
    <w:rsid w:val="00884127"/>
    <w:rsid w:val="00886CE8"/>
    <w:rsid w:val="0089054A"/>
    <w:rsid w:val="00891B6B"/>
    <w:rsid w:val="00896B65"/>
    <w:rsid w:val="008A1CE7"/>
    <w:rsid w:val="008B3474"/>
    <w:rsid w:val="008B7059"/>
    <w:rsid w:val="008C2C7B"/>
    <w:rsid w:val="008F3312"/>
    <w:rsid w:val="008F584D"/>
    <w:rsid w:val="00901445"/>
    <w:rsid w:val="00902F6C"/>
    <w:rsid w:val="0090638D"/>
    <w:rsid w:val="00916806"/>
    <w:rsid w:val="00922975"/>
    <w:rsid w:val="00925132"/>
    <w:rsid w:val="00927A5C"/>
    <w:rsid w:val="00930917"/>
    <w:rsid w:val="00943861"/>
    <w:rsid w:val="00945322"/>
    <w:rsid w:val="00947F29"/>
    <w:rsid w:val="009511E2"/>
    <w:rsid w:val="00951974"/>
    <w:rsid w:val="00966266"/>
    <w:rsid w:val="009751ED"/>
    <w:rsid w:val="00983BAC"/>
    <w:rsid w:val="0099170D"/>
    <w:rsid w:val="009A327B"/>
    <w:rsid w:val="009B76A7"/>
    <w:rsid w:val="009C3E29"/>
    <w:rsid w:val="009D079E"/>
    <w:rsid w:val="009E19BC"/>
    <w:rsid w:val="009E20DD"/>
    <w:rsid w:val="009F2142"/>
    <w:rsid w:val="009F29BD"/>
    <w:rsid w:val="00A00D1E"/>
    <w:rsid w:val="00A239C5"/>
    <w:rsid w:val="00A37517"/>
    <w:rsid w:val="00A5147D"/>
    <w:rsid w:val="00A53339"/>
    <w:rsid w:val="00A603E4"/>
    <w:rsid w:val="00A663FE"/>
    <w:rsid w:val="00A80AF8"/>
    <w:rsid w:val="00A87367"/>
    <w:rsid w:val="00A87680"/>
    <w:rsid w:val="00AB0B68"/>
    <w:rsid w:val="00AC63F2"/>
    <w:rsid w:val="00AD37AD"/>
    <w:rsid w:val="00AF2060"/>
    <w:rsid w:val="00B00602"/>
    <w:rsid w:val="00B00A5D"/>
    <w:rsid w:val="00B04B84"/>
    <w:rsid w:val="00B063BE"/>
    <w:rsid w:val="00B0764D"/>
    <w:rsid w:val="00B230DB"/>
    <w:rsid w:val="00B25220"/>
    <w:rsid w:val="00B26579"/>
    <w:rsid w:val="00B33C71"/>
    <w:rsid w:val="00B36691"/>
    <w:rsid w:val="00B71841"/>
    <w:rsid w:val="00B71A66"/>
    <w:rsid w:val="00B77BD8"/>
    <w:rsid w:val="00B85BA1"/>
    <w:rsid w:val="00B90E92"/>
    <w:rsid w:val="00B944A6"/>
    <w:rsid w:val="00BA5BB8"/>
    <w:rsid w:val="00BA63D0"/>
    <w:rsid w:val="00BA7D40"/>
    <w:rsid w:val="00BB7A43"/>
    <w:rsid w:val="00BC12CC"/>
    <w:rsid w:val="00BC5267"/>
    <w:rsid w:val="00BD36C9"/>
    <w:rsid w:val="00BE0D5A"/>
    <w:rsid w:val="00C011F2"/>
    <w:rsid w:val="00C02321"/>
    <w:rsid w:val="00C0286B"/>
    <w:rsid w:val="00C06F95"/>
    <w:rsid w:val="00C07F42"/>
    <w:rsid w:val="00C14B9E"/>
    <w:rsid w:val="00C25A06"/>
    <w:rsid w:val="00C27590"/>
    <w:rsid w:val="00C33076"/>
    <w:rsid w:val="00C36521"/>
    <w:rsid w:val="00C51D63"/>
    <w:rsid w:val="00C55436"/>
    <w:rsid w:val="00C64659"/>
    <w:rsid w:val="00C8193B"/>
    <w:rsid w:val="00C86383"/>
    <w:rsid w:val="00C90470"/>
    <w:rsid w:val="00C95A24"/>
    <w:rsid w:val="00CA170F"/>
    <w:rsid w:val="00CA29FD"/>
    <w:rsid w:val="00CB295F"/>
    <w:rsid w:val="00CC2911"/>
    <w:rsid w:val="00CC2D2B"/>
    <w:rsid w:val="00CC6BCD"/>
    <w:rsid w:val="00CD0641"/>
    <w:rsid w:val="00CD7D59"/>
    <w:rsid w:val="00CE57B7"/>
    <w:rsid w:val="00CF1C70"/>
    <w:rsid w:val="00CF5905"/>
    <w:rsid w:val="00D022CD"/>
    <w:rsid w:val="00D04FFC"/>
    <w:rsid w:val="00D1619F"/>
    <w:rsid w:val="00D300E1"/>
    <w:rsid w:val="00D35698"/>
    <w:rsid w:val="00D36719"/>
    <w:rsid w:val="00D367E4"/>
    <w:rsid w:val="00D446C1"/>
    <w:rsid w:val="00D54310"/>
    <w:rsid w:val="00D61D5E"/>
    <w:rsid w:val="00D637B5"/>
    <w:rsid w:val="00D6448F"/>
    <w:rsid w:val="00D711DE"/>
    <w:rsid w:val="00D73DA2"/>
    <w:rsid w:val="00D763AF"/>
    <w:rsid w:val="00D82434"/>
    <w:rsid w:val="00D84D08"/>
    <w:rsid w:val="00D863BE"/>
    <w:rsid w:val="00D92B53"/>
    <w:rsid w:val="00DA34CD"/>
    <w:rsid w:val="00DE5CE6"/>
    <w:rsid w:val="00E0116D"/>
    <w:rsid w:val="00E03953"/>
    <w:rsid w:val="00E1165D"/>
    <w:rsid w:val="00E20ED0"/>
    <w:rsid w:val="00E217D7"/>
    <w:rsid w:val="00E25C6F"/>
    <w:rsid w:val="00E347C7"/>
    <w:rsid w:val="00E4432C"/>
    <w:rsid w:val="00E62468"/>
    <w:rsid w:val="00E625CC"/>
    <w:rsid w:val="00E661A5"/>
    <w:rsid w:val="00E75244"/>
    <w:rsid w:val="00E77D0D"/>
    <w:rsid w:val="00E8038E"/>
    <w:rsid w:val="00E87DE9"/>
    <w:rsid w:val="00E97F42"/>
    <w:rsid w:val="00EA0BFF"/>
    <w:rsid w:val="00EB37E6"/>
    <w:rsid w:val="00EB3AA3"/>
    <w:rsid w:val="00EB4E6D"/>
    <w:rsid w:val="00EB7BC7"/>
    <w:rsid w:val="00EC5EAE"/>
    <w:rsid w:val="00EE5044"/>
    <w:rsid w:val="00EE6D7E"/>
    <w:rsid w:val="00F02355"/>
    <w:rsid w:val="00F11EFC"/>
    <w:rsid w:val="00F213FB"/>
    <w:rsid w:val="00F25224"/>
    <w:rsid w:val="00F26E92"/>
    <w:rsid w:val="00F43C86"/>
    <w:rsid w:val="00F478AE"/>
    <w:rsid w:val="00F643F9"/>
    <w:rsid w:val="00F6453A"/>
    <w:rsid w:val="00F86470"/>
    <w:rsid w:val="00F9728B"/>
    <w:rsid w:val="00FA584C"/>
    <w:rsid w:val="00FB3F00"/>
    <w:rsid w:val="00FC22CB"/>
    <w:rsid w:val="00FC27AE"/>
    <w:rsid w:val="00FD000B"/>
    <w:rsid w:val="00FD2AD6"/>
    <w:rsid w:val="00FD410F"/>
    <w:rsid w:val="00FD4198"/>
    <w:rsid w:val="00FE01B3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19F8"/>
  <w15:docId w15:val="{D75E7B88-42E6-4392-8F6B-156B1CA7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7E6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7D2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D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D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Numbered para,List Paragraph (numbered (a)),References,Bullets,List Paragraph nowy,Numbered List Paragraph,Bullet1,List Paragraph 1,IBL List Paragraph,Body,Normal 2 DC"/>
    <w:basedOn w:val="Normal"/>
    <w:link w:val="ListParagraphChar"/>
    <w:uiPriority w:val="34"/>
    <w:qFormat/>
    <w:rsid w:val="00EB3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0D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06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D367E4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2">
    <w:name w:val="H 2"/>
    <w:basedOn w:val="Normal"/>
    <w:rsid w:val="00393451"/>
    <w:pPr>
      <w:numPr>
        <w:numId w:val="8"/>
      </w:numPr>
      <w:spacing w:after="240" w:line="240" w:lineRule="auto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393451"/>
    <w:pPr>
      <w:keepNext/>
      <w:numPr>
        <w:ilvl w:val="1"/>
        <w:numId w:val="8"/>
      </w:numPr>
      <w:spacing w:before="120" w:after="120" w:line="240" w:lineRule="auto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393451"/>
    <w:pPr>
      <w:numPr>
        <w:ilvl w:val="2"/>
        <w:numId w:val="8"/>
      </w:numPr>
      <w:tabs>
        <w:tab w:val="clear" w:pos="1701"/>
        <w:tab w:val="left" w:pos="851"/>
        <w:tab w:val="num" w:pos="1571"/>
      </w:tabs>
      <w:spacing w:after="240" w:line="240" w:lineRule="auto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393451"/>
    <w:pPr>
      <w:numPr>
        <w:ilvl w:val="3"/>
        <w:numId w:val="8"/>
      </w:numPr>
      <w:tabs>
        <w:tab w:val="clear" w:pos="1571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393451"/>
    <w:pPr>
      <w:numPr>
        <w:ilvl w:val="4"/>
        <w:numId w:val="8"/>
      </w:numPr>
      <w:tabs>
        <w:tab w:val="num" w:pos="1854"/>
      </w:tabs>
      <w:spacing w:after="240" w:line="240" w:lineRule="auto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393451"/>
    <w:pPr>
      <w:numPr>
        <w:ilvl w:val="5"/>
        <w:numId w:val="8"/>
      </w:numPr>
      <w:tabs>
        <w:tab w:val="clear" w:pos="1854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393451"/>
    <w:pPr>
      <w:numPr>
        <w:ilvl w:val="6"/>
        <w:numId w:val="8"/>
      </w:numPr>
      <w:tabs>
        <w:tab w:val="left" w:pos="1418"/>
        <w:tab w:val="num" w:pos="2498"/>
      </w:tabs>
      <w:spacing w:after="240" w:line="240" w:lineRule="auto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393451"/>
    <w:pPr>
      <w:numPr>
        <w:ilvl w:val="7"/>
        <w:numId w:val="8"/>
      </w:numPr>
      <w:tabs>
        <w:tab w:val="clear" w:pos="2498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393451"/>
    <w:pPr>
      <w:numPr>
        <w:ilvl w:val="8"/>
        <w:numId w:val="8"/>
      </w:num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D2B9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bumpedfont15">
    <w:name w:val="bumpedfont15"/>
    <w:basedOn w:val="DefaultParagraphFont"/>
    <w:rsid w:val="00DA34CD"/>
  </w:style>
  <w:style w:type="character" w:customStyle="1" w:styleId="apple-converted-space">
    <w:name w:val="apple-converted-space"/>
    <w:basedOn w:val="DefaultParagraphFont"/>
    <w:uiPriority w:val="99"/>
    <w:rsid w:val="00DA34CD"/>
  </w:style>
  <w:style w:type="numbering" w:customStyle="1" w:styleId="NoList1">
    <w:name w:val="No List1"/>
    <w:next w:val="NoList"/>
    <w:uiPriority w:val="99"/>
    <w:semiHidden/>
    <w:unhideWhenUsed/>
    <w:rsid w:val="00CB295F"/>
  </w:style>
  <w:style w:type="paragraph" w:styleId="Header">
    <w:name w:val="header"/>
    <w:basedOn w:val="Normal"/>
    <w:link w:val="HeaderChar"/>
    <w:uiPriority w:val="99"/>
    <w:unhideWhenUsed/>
    <w:rsid w:val="00CB29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B29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B295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CB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B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B2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lanak-">
    <w:name w:val="clanak-"/>
    <w:basedOn w:val="Normal"/>
    <w:rsid w:val="00CB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B29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295F"/>
    <w:rPr>
      <w:b/>
      <w:bCs/>
    </w:rPr>
  </w:style>
  <w:style w:type="paragraph" w:customStyle="1" w:styleId="msonormal0">
    <w:name w:val="msonormal"/>
    <w:basedOn w:val="Normal"/>
    <w:rsid w:val="00CB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CB295F"/>
    <w:rPr>
      <w:color w:val="800080"/>
      <w:u w:val="single"/>
    </w:rPr>
  </w:style>
  <w:style w:type="table" w:customStyle="1" w:styleId="TableGrid2">
    <w:name w:val="Table Grid2"/>
    <w:basedOn w:val="TableNormal"/>
    <w:uiPriority w:val="59"/>
    <w:rsid w:val="00CB29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B295F"/>
  </w:style>
  <w:style w:type="table" w:customStyle="1" w:styleId="TableGrid4">
    <w:name w:val="Table Grid4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1 Char,Akapit z listą BS Char,Numbered para Char,List Paragraph (numbered (a)) Char,References Char,Bullets Char,List Paragraph nowy Char,Numbered List Paragraph Char"/>
    <w:link w:val="ListParagraph"/>
    <w:uiPriority w:val="34"/>
    <w:qFormat/>
    <w:rsid w:val="00CB295F"/>
  </w:style>
  <w:style w:type="character" w:customStyle="1" w:styleId="Zadanifontodlomka">
    <w:name w:val="Zadani font odlomka"/>
    <w:rsid w:val="00CB295F"/>
  </w:style>
  <w:style w:type="table" w:customStyle="1" w:styleId="Reetkatablice21">
    <w:name w:val="Rešetka tablice2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CB295F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95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CB29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31">
    <w:name w:val="Table Grid3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B29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CB295F"/>
    <w:rPr>
      <w:rFonts w:ascii="Calibri" w:eastAsia="Calibri" w:hAnsi="Calibri" w:cs="Times New Roman"/>
    </w:rPr>
  </w:style>
  <w:style w:type="table" w:customStyle="1" w:styleId="TableGrid34">
    <w:name w:val="Table Grid34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3">
    <w:name w:val="No List3"/>
    <w:next w:val="NoList"/>
    <w:uiPriority w:val="99"/>
    <w:semiHidden/>
    <w:unhideWhenUsed/>
    <w:rsid w:val="00CC6BCD"/>
  </w:style>
  <w:style w:type="table" w:customStyle="1" w:styleId="TableGrid5">
    <w:name w:val="Table Grid5"/>
    <w:basedOn w:val="TableNormal"/>
    <w:next w:val="TableGrid"/>
    <w:uiPriority w:val="59"/>
    <w:rsid w:val="00CC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basedOn w:val="DefaultParagraphFont"/>
    <w:uiPriority w:val="99"/>
    <w:rsid w:val="00CC6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CC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4">
    <w:name w:val="No List4"/>
    <w:next w:val="NoList"/>
    <w:uiPriority w:val="99"/>
    <w:semiHidden/>
    <w:unhideWhenUsed/>
    <w:rsid w:val="00825B86"/>
  </w:style>
  <w:style w:type="numbering" w:customStyle="1" w:styleId="NoList11">
    <w:name w:val="No List11"/>
    <w:next w:val="NoList"/>
    <w:semiHidden/>
    <w:rsid w:val="00825B86"/>
  </w:style>
  <w:style w:type="table" w:customStyle="1" w:styleId="TableGrid8">
    <w:name w:val="Table Grid8"/>
    <w:basedOn w:val="TableNormal"/>
    <w:next w:val="TableGrid"/>
    <w:uiPriority w:val="59"/>
    <w:rsid w:val="00825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25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5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5D5"/>
  </w:style>
  <w:style w:type="table" w:customStyle="1" w:styleId="TableGrid9">
    <w:name w:val="Table Grid9"/>
    <w:basedOn w:val="TableNormal"/>
    <w:next w:val="TableGrid"/>
    <w:uiPriority w:val="59"/>
    <w:rsid w:val="001D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btitle">
    <w:name w:val="Subtitle"/>
    <w:basedOn w:val="Normal"/>
    <w:link w:val="SubtitleChar"/>
    <w:uiPriority w:val="11"/>
    <w:qFormat/>
    <w:rsid w:val="005720D0"/>
    <w:pPr>
      <w:spacing w:before="200" w:after="0" w:line="240" w:lineRule="auto"/>
      <w:contextualSpacing/>
      <w:jc w:val="center"/>
    </w:pPr>
    <w:rPr>
      <w:rFonts w:ascii="Calibri" w:hAnsi="Calibri" w:cs="Calibri"/>
      <w:color w:val="C45911"/>
      <w:sz w:val="52"/>
      <w:szCs w:val="5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720D0"/>
    <w:rPr>
      <w:rFonts w:ascii="Calibri" w:hAnsi="Calibri" w:cs="Calibri"/>
      <w:color w:val="C45911"/>
      <w:sz w:val="52"/>
      <w:szCs w:val="52"/>
      <w:lang w:eastAsia="ja-JP"/>
    </w:rPr>
  </w:style>
  <w:style w:type="table" w:customStyle="1" w:styleId="TableGrid13">
    <w:name w:val="Table Grid13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20D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table" w:customStyle="1" w:styleId="TableGrid15">
    <w:name w:val="Table Grid15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5720D0"/>
  </w:style>
  <w:style w:type="character" w:customStyle="1" w:styleId="contentpasted1">
    <w:name w:val="contentpasted1"/>
    <w:basedOn w:val="DefaultParagraphFont"/>
    <w:rsid w:val="005720D0"/>
  </w:style>
  <w:style w:type="character" w:customStyle="1" w:styleId="contentpasted2">
    <w:name w:val="contentpasted2"/>
    <w:basedOn w:val="DefaultParagraphFont"/>
    <w:rsid w:val="005720D0"/>
  </w:style>
  <w:style w:type="character" w:customStyle="1" w:styleId="contentpasted3">
    <w:name w:val="contentpasted3"/>
    <w:basedOn w:val="DefaultParagraphFont"/>
    <w:rsid w:val="005720D0"/>
  </w:style>
  <w:style w:type="paragraph" w:customStyle="1" w:styleId="Default">
    <w:name w:val="Default"/>
    <w:rsid w:val="00572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">
    <w:name w:val="Bez"/>
    <w:rsid w:val="005720D0"/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F11EF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/default.aspx?id=469" TargetMode="External"/><Relationship Id="rId13" Type="http://schemas.openxmlformats.org/officeDocument/2006/relationships/hyperlink" Target="http://www.zagreb.hr/UserDocsImages/odgoj_obrazovanje_spot/RedovneOsnovneSkole.doc" TargetMode="External"/><Relationship Id="rId18" Type="http://schemas.openxmlformats.org/officeDocument/2006/relationships/hyperlink" Target="http://web1.zagreb.hr/default.aspx?id=634" TargetMode="External"/><Relationship Id="rId26" Type="http://schemas.openxmlformats.org/officeDocument/2006/relationships/hyperlink" Target="http://www.dobri-dom.hr" TargetMode="External"/><Relationship Id="rId39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hyperlink" Target="http://web1.zagreb.hr/default.aspx?id=634" TargetMode="External"/><Relationship Id="rId34" Type="http://schemas.openxmlformats.org/officeDocument/2006/relationships/image" Target="media/image7.emf"/><Relationship Id="rId42" Type="http://schemas.openxmlformats.org/officeDocument/2006/relationships/fontTable" Target="fontTable.xml"/><Relationship Id="rId7" Type="http://schemas.openxmlformats.org/officeDocument/2006/relationships/hyperlink" Target="http://www.zagreb.hr/default.aspx?id=467" TargetMode="External"/><Relationship Id="rId12" Type="http://schemas.openxmlformats.org/officeDocument/2006/relationships/hyperlink" Target="http://www.zagreb.hr/default.aspx?id=470" TargetMode="External"/><Relationship Id="rId17" Type="http://schemas.openxmlformats.org/officeDocument/2006/relationships/hyperlink" Target="http://www.zagreb.hr/UserDocsImages/odgoj_obrazovanje_spot/UcenickiDomovi.doc" TargetMode="External"/><Relationship Id="rId25" Type="http://schemas.openxmlformats.org/officeDocument/2006/relationships/hyperlink" Target="http://www.duga-zagreb.hr/" TargetMode="External"/><Relationship Id="rId33" Type="http://schemas.openxmlformats.org/officeDocument/2006/relationships/image" Target="media/image6.emf"/><Relationship Id="rId38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hyperlink" Target="http://web1.zagreb.hr/default.aspx?id=22067" TargetMode="External"/><Relationship Id="rId20" Type="http://schemas.openxmlformats.org/officeDocument/2006/relationships/hyperlink" Target="http://web1.zagreb.hr/default.aspx?id=634" TargetMode="External"/><Relationship Id="rId29" Type="http://schemas.openxmlformats.org/officeDocument/2006/relationships/image" Target="media/image2.emf"/><Relationship Id="rId41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/default.aspx?id=494" TargetMode="External"/><Relationship Id="rId11" Type="http://schemas.openxmlformats.org/officeDocument/2006/relationships/hyperlink" Target="http://www.hitna-pomoc-zg.hr/" TargetMode="External"/><Relationship Id="rId24" Type="http://schemas.openxmlformats.org/officeDocument/2006/relationships/hyperlink" Target="http://www.zagreb.hr/default.aspx?id=1815" TargetMode="External"/><Relationship Id="rId32" Type="http://schemas.openxmlformats.org/officeDocument/2006/relationships/image" Target="media/image5.emf"/><Relationship Id="rId37" Type="http://schemas.openxmlformats.org/officeDocument/2006/relationships/image" Target="media/image10.emf"/><Relationship Id="rId40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hyperlink" Target="http://www.autizam.hr" TargetMode="External"/><Relationship Id="rId23" Type="http://schemas.openxmlformats.org/officeDocument/2006/relationships/hyperlink" Target="http://web1.zagreb.hr/default.aspx?id=634" TargetMode="External"/><Relationship Id="rId28" Type="http://schemas.openxmlformats.org/officeDocument/2006/relationships/image" Target="media/image1.emf"/><Relationship Id="rId36" Type="http://schemas.openxmlformats.org/officeDocument/2006/relationships/image" Target="media/image9.emf"/><Relationship Id="rId10" Type="http://schemas.openxmlformats.org/officeDocument/2006/relationships/hyperlink" Target="http://www.stampar.hr/Default.aspx" TargetMode="External"/><Relationship Id="rId19" Type="http://schemas.openxmlformats.org/officeDocument/2006/relationships/hyperlink" Target="http://web1.zagreb.hr/default.aspx?id=634" TargetMode="External"/><Relationship Id="rId31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http://www.kbsd.hr/" TargetMode="External"/><Relationship Id="rId14" Type="http://schemas.openxmlformats.org/officeDocument/2006/relationships/hyperlink" Target="http://www.coogoljak.hr" TargetMode="External"/><Relationship Id="rId22" Type="http://schemas.openxmlformats.org/officeDocument/2006/relationships/hyperlink" Target="http://web1.zagreb.hr/default.aspx?id=634" TargetMode="External"/><Relationship Id="rId27" Type="http://schemas.openxmlformats.org/officeDocument/2006/relationships/hyperlink" Target="http://www.malidom.hr/" TargetMode="External"/><Relationship Id="rId30" Type="http://schemas.openxmlformats.org/officeDocument/2006/relationships/image" Target="media/image3.emf"/><Relationship Id="rId35" Type="http://schemas.openxmlformats.org/officeDocument/2006/relationships/image" Target="media/image8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3A6E-25F1-42ED-BD50-6E583EF8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24</Pages>
  <Words>6531</Words>
  <Characters>37230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Bedeković</dc:creator>
  <cp:keywords/>
  <dc:description/>
  <cp:lastModifiedBy>Gordana Vojnović</cp:lastModifiedBy>
  <cp:revision>114</cp:revision>
  <cp:lastPrinted>2022-11-15T11:29:00Z</cp:lastPrinted>
  <dcterms:created xsi:type="dcterms:W3CDTF">2022-11-11T08:31:00Z</dcterms:created>
  <dcterms:modified xsi:type="dcterms:W3CDTF">2022-11-15T13:59:00Z</dcterms:modified>
</cp:coreProperties>
</file>